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b/>
          <w:bCs/>
          <w:caps/>
          <w:szCs w:val="28"/>
        </w:rPr>
      </w:pPr>
      <w:r w:rsidRPr="00C0741E">
        <w:rPr>
          <w:rFonts w:eastAsia="Calibri" w:cs="Times New Roman"/>
          <w:b/>
          <w:bCs/>
          <w:caps/>
          <w:szCs w:val="28"/>
        </w:rPr>
        <w:t>Возможности использования различных магнитных экранов для поверки и калибровки индукционных магнитных датчиков</w:t>
      </w:r>
    </w:p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b/>
          <w:bCs/>
          <w:caps/>
          <w:szCs w:val="28"/>
        </w:rPr>
      </w:pPr>
    </w:p>
    <w:p w:rsidR="00C0741E" w:rsidRPr="00C0741E" w:rsidRDefault="00C0741E" w:rsidP="00440EAB">
      <w:pPr>
        <w:tabs>
          <w:tab w:val="clear" w:pos="709"/>
        </w:tabs>
        <w:ind w:right="567" w:firstLine="567"/>
        <w:jc w:val="center"/>
        <w:rPr>
          <w:rFonts w:eastAsia="Calibri" w:cs="Times New Roman"/>
          <w:szCs w:val="28"/>
        </w:rPr>
      </w:pPr>
      <w:r w:rsidRPr="00C0741E">
        <w:rPr>
          <w:rFonts w:eastAsia="Calibri" w:cs="Times New Roman"/>
          <w:szCs w:val="28"/>
        </w:rPr>
        <w:t>Е.А. Копытенко</w:t>
      </w:r>
      <w:r w:rsidRPr="00C0741E">
        <w:rPr>
          <w:rFonts w:eastAsia="Calibri" w:cs="Times New Roman"/>
          <w:szCs w:val="28"/>
          <w:vertAlign w:val="superscript"/>
        </w:rPr>
        <w:t>1,2</w:t>
      </w:r>
      <w:r w:rsidRPr="00C0741E">
        <w:rPr>
          <w:rFonts w:eastAsia="Calibri" w:cs="Times New Roman"/>
          <w:szCs w:val="28"/>
        </w:rPr>
        <w:t>, С.В. Поляков</w:t>
      </w:r>
      <w:r w:rsidRPr="00C0741E">
        <w:rPr>
          <w:rFonts w:eastAsia="Calibri" w:cs="Times New Roman"/>
          <w:szCs w:val="28"/>
          <w:vertAlign w:val="superscript"/>
        </w:rPr>
        <w:t>1,3</w:t>
      </w:r>
      <w:r w:rsidRPr="00C0741E">
        <w:rPr>
          <w:rFonts w:eastAsia="Calibri" w:cs="Times New Roman"/>
          <w:szCs w:val="28"/>
        </w:rPr>
        <w:t>, Н.Ю. Богомолов</w:t>
      </w:r>
      <w:r w:rsidRPr="00C0741E">
        <w:rPr>
          <w:rFonts w:eastAsia="Calibri" w:cs="Times New Roman"/>
          <w:szCs w:val="28"/>
          <w:vertAlign w:val="superscript"/>
        </w:rPr>
        <w:t>1</w:t>
      </w:r>
      <w:r w:rsidRPr="00C0741E">
        <w:rPr>
          <w:rFonts w:eastAsia="Calibri" w:cs="Times New Roman"/>
          <w:szCs w:val="28"/>
        </w:rPr>
        <w:t xml:space="preserve">, </w:t>
      </w:r>
      <w:r w:rsidR="00440EAB">
        <w:rPr>
          <w:rFonts w:eastAsia="Calibri" w:cs="Times New Roman"/>
          <w:szCs w:val="28"/>
        </w:rPr>
        <w:t>А.С. Скрябин</w:t>
      </w:r>
      <w:r w:rsidR="00440EAB" w:rsidRPr="00C0741E">
        <w:rPr>
          <w:rFonts w:eastAsia="Calibri" w:cs="Times New Roman"/>
          <w:szCs w:val="28"/>
          <w:vertAlign w:val="superscript"/>
        </w:rPr>
        <w:t>1</w:t>
      </w:r>
      <w:r w:rsidR="00440EAB">
        <w:rPr>
          <w:rFonts w:eastAsia="Calibri" w:cs="Times New Roman"/>
          <w:szCs w:val="28"/>
        </w:rPr>
        <w:t xml:space="preserve">, </w:t>
      </w:r>
      <w:r w:rsidR="003D2FD4">
        <w:rPr>
          <w:rFonts w:eastAsia="Calibri" w:cs="Times New Roman"/>
          <w:szCs w:val="28"/>
        </w:rPr>
        <w:t>А.В</w:t>
      </w:r>
      <w:bookmarkStart w:id="0" w:name="_GoBack"/>
      <w:bookmarkEnd w:id="0"/>
      <w:r w:rsidR="003D2FD4">
        <w:rPr>
          <w:rFonts w:eastAsia="Calibri" w:cs="Times New Roman"/>
          <w:szCs w:val="28"/>
        </w:rPr>
        <w:t>. Щенников</w:t>
      </w:r>
      <w:r w:rsidR="003D2FD4" w:rsidRPr="00C0741E">
        <w:rPr>
          <w:rFonts w:eastAsia="Calibri" w:cs="Times New Roman"/>
          <w:szCs w:val="28"/>
          <w:vertAlign w:val="superscript"/>
        </w:rPr>
        <w:t>1,3</w:t>
      </w:r>
      <w:r w:rsidR="003D2FD4">
        <w:rPr>
          <w:rFonts w:eastAsia="Calibri" w:cs="Times New Roman"/>
          <w:szCs w:val="28"/>
        </w:rPr>
        <w:t xml:space="preserve">, </w:t>
      </w:r>
      <w:r w:rsidRPr="00C0741E">
        <w:rPr>
          <w:rFonts w:eastAsia="Calibri" w:cs="Times New Roman"/>
          <w:szCs w:val="28"/>
        </w:rPr>
        <w:t>М.Б. Самсонов</w:t>
      </w:r>
      <w:r w:rsidRPr="00C0741E">
        <w:rPr>
          <w:rFonts w:eastAsia="Calibri" w:cs="Times New Roman"/>
          <w:szCs w:val="28"/>
          <w:vertAlign w:val="superscript"/>
        </w:rPr>
        <w:t>1</w:t>
      </w:r>
      <w:r w:rsidRPr="00C0741E">
        <w:rPr>
          <w:rFonts w:eastAsia="Calibri" w:cs="Times New Roman"/>
          <w:szCs w:val="28"/>
        </w:rPr>
        <w:t>, Б.В. Самсонов</w:t>
      </w:r>
      <w:r w:rsidRPr="00C0741E">
        <w:rPr>
          <w:rFonts w:eastAsia="Calibri" w:cs="Times New Roman"/>
          <w:szCs w:val="28"/>
          <w:vertAlign w:val="superscript"/>
        </w:rPr>
        <w:t>1</w:t>
      </w:r>
    </w:p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i/>
          <w:iCs/>
          <w:szCs w:val="28"/>
        </w:rPr>
      </w:pPr>
      <w:r w:rsidRPr="00C0741E">
        <w:rPr>
          <w:rFonts w:eastAsia="Calibri" w:cs="Times New Roman"/>
          <w:i/>
          <w:iCs/>
          <w:szCs w:val="28"/>
          <w:vertAlign w:val="superscript"/>
        </w:rPr>
        <w:t>1</w:t>
      </w:r>
      <w:r w:rsidRPr="00C0741E">
        <w:rPr>
          <w:rFonts w:eastAsia="Calibri" w:cs="Times New Roman"/>
          <w:i/>
          <w:iCs/>
          <w:szCs w:val="28"/>
        </w:rPr>
        <w:t>ООО «ВЕГА», Санкт-Петербург</w:t>
      </w:r>
    </w:p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i/>
          <w:iCs/>
          <w:szCs w:val="28"/>
        </w:rPr>
      </w:pPr>
      <w:r w:rsidRPr="00C0741E">
        <w:rPr>
          <w:rFonts w:eastAsia="Calibri" w:cs="Times New Roman"/>
          <w:i/>
          <w:iCs/>
          <w:szCs w:val="28"/>
          <w:vertAlign w:val="superscript"/>
        </w:rPr>
        <w:t>2</w:t>
      </w:r>
      <w:r w:rsidRPr="00C0741E">
        <w:rPr>
          <w:rFonts w:eastAsia="Calibri" w:cs="Times New Roman"/>
          <w:i/>
          <w:iCs/>
          <w:szCs w:val="28"/>
        </w:rPr>
        <w:t>СПб Ф ИЗМИРАН, Санкт-Петербург</w:t>
      </w:r>
    </w:p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i/>
          <w:iCs/>
          <w:szCs w:val="28"/>
        </w:rPr>
      </w:pPr>
      <w:r w:rsidRPr="00C0741E">
        <w:rPr>
          <w:rFonts w:eastAsia="Calibri" w:cs="Times New Roman"/>
          <w:i/>
          <w:iCs/>
          <w:szCs w:val="28"/>
          <w:vertAlign w:val="superscript"/>
        </w:rPr>
        <w:t>3</w:t>
      </w:r>
      <w:r w:rsidRPr="00C0741E">
        <w:rPr>
          <w:rFonts w:eastAsia="Calibri" w:cs="Times New Roman"/>
          <w:i/>
          <w:iCs/>
          <w:szCs w:val="28"/>
        </w:rPr>
        <w:t>Отдел Прикладной Геофизики, НИРФИ ННГУ им. Н.И. Лобачевского, Нижний-Новгород</w:t>
      </w:r>
    </w:p>
    <w:p w:rsid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szCs w:val="28"/>
          <w:lang w:val="en-US"/>
        </w:rPr>
      </w:pPr>
      <w:r w:rsidRPr="00C0741E">
        <w:rPr>
          <w:rFonts w:eastAsia="Calibri" w:cs="Times New Roman"/>
          <w:szCs w:val="28"/>
          <w:lang w:val="en-US"/>
        </w:rPr>
        <w:t xml:space="preserve">e-mail: </w:t>
      </w:r>
      <w:hyperlink r:id="rId5" w:history="1">
        <w:r w:rsidRPr="0077621A">
          <w:rPr>
            <w:rStyle w:val="a5"/>
            <w:rFonts w:eastAsia="Calibri" w:cs="Times New Roman"/>
            <w:szCs w:val="28"/>
            <w:lang w:val="en-US"/>
          </w:rPr>
          <w:t>eugene</w:t>
        </w:r>
        <w:r w:rsidRPr="00C0741E">
          <w:rPr>
            <w:rStyle w:val="a5"/>
            <w:rFonts w:eastAsia="Calibri" w:cs="Times New Roman"/>
            <w:szCs w:val="28"/>
            <w:lang w:val="en-US"/>
          </w:rPr>
          <w:t>@</w:t>
        </w:r>
        <w:r w:rsidRPr="0077621A">
          <w:rPr>
            <w:rStyle w:val="a5"/>
            <w:rFonts w:eastAsia="Calibri" w:cs="Times New Roman"/>
            <w:szCs w:val="28"/>
            <w:lang w:val="en-US"/>
          </w:rPr>
          <w:t>vega</w:t>
        </w:r>
        <w:r w:rsidRPr="00C0741E">
          <w:rPr>
            <w:rStyle w:val="a5"/>
            <w:rFonts w:eastAsia="Calibri" w:cs="Times New Roman"/>
            <w:szCs w:val="28"/>
            <w:lang w:val="en-US"/>
          </w:rPr>
          <w:t>-</w:t>
        </w:r>
        <w:r w:rsidRPr="0077621A">
          <w:rPr>
            <w:rStyle w:val="a5"/>
            <w:rFonts w:eastAsia="Calibri" w:cs="Times New Roman"/>
            <w:szCs w:val="28"/>
            <w:lang w:val="en-US"/>
          </w:rPr>
          <w:t>geo</w:t>
        </w:r>
        <w:r w:rsidRPr="00C0741E">
          <w:rPr>
            <w:rStyle w:val="a5"/>
            <w:rFonts w:eastAsia="Calibri" w:cs="Times New Roman"/>
            <w:szCs w:val="28"/>
            <w:lang w:val="en-US"/>
          </w:rPr>
          <w:t>.</w:t>
        </w:r>
        <w:r w:rsidRPr="0077621A">
          <w:rPr>
            <w:rStyle w:val="a5"/>
            <w:rFonts w:eastAsia="Calibri" w:cs="Times New Roman"/>
            <w:szCs w:val="28"/>
            <w:lang w:val="en-US"/>
          </w:rPr>
          <w:t>net</w:t>
        </w:r>
      </w:hyperlink>
    </w:p>
    <w:p w:rsidR="00C0741E" w:rsidRPr="00C0741E" w:rsidRDefault="00C0741E" w:rsidP="00C0741E">
      <w:pPr>
        <w:tabs>
          <w:tab w:val="clear" w:pos="709"/>
        </w:tabs>
        <w:ind w:firstLine="0"/>
        <w:jc w:val="center"/>
        <w:rPr>
          <w:rFonts w:eastAsia="Calibri" w:cs="Times New Roman"/>
          <w:szCs w:val="28"/>
          <w:lang w:val="en-US"/>
        </w:rPr>
      </w:pPr>
    </w:p>
    <w:p w:rsidR="00F43182" w:rsidRDefault="000E59FB" w:rsidP="004974EE">
      <w:pPr>
        <w:pStyle w:val="3f3f3f3f3f3f3f"/>
        <w:spacing w:line="30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>В работе проводится сравнение и анализ характеристик магнитных индукционных датчиков, применяемых в работах методом МТЗ, полученных с использованием различных калибровочных установок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(КУ)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Показано влияние старения характеристик магнитометров, бывших в длительной полевой эксплуатации на конечные результаты ЭМ</w:t>
      </w:r>
      <w:r w:rsidR="00B808F3" w:rsidRPr="00B808F3">
        <w:rPr>
          <w:i/>
          <w:color w:val="000000"/>
          <w:sz w:val="27"/>
          <w:szCs w:val="27"/>
        </w:rPr>
        <w:t xml:space="preserve"> 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>зондирований.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конкретных примерах обосновывается необходимость периодической поверки первичных индукционных магнитных преобразователей. Предл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агается использовать 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>современны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>е КУ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для поверки и калибровки магнитометрической аппаратуры в условиях индустриальных помех. Приводятся результаты калибровки индукционных магнитных датчиков </w:t>
      </w:r>
      <w:r w:rsidR="00BD5E07">
        <w:rPr>
          <w:rFonts w:ascii="Times New Roman" w:hAnsi="Times New Roman" w:cs="Times New Roman"/>
          <w:i/>
          <w:color w:val="000000"/>
          <w:sz w:val="28"/>
          <w:szCs w:val="28"/>
        </w:rPr>
        <w:t>с использованием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>различных</w:t>
      </w:r>
      <w:r w:rsidRPr="00B808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808F3" w:rsidRPr="00B808F3">
        <w:rPr>
          <w:rFonts w:ascii="Times New Roman" w:hAnsi="Times New Roman" w:cs="Times New Roman"/>
          <w:i/>
          <w:color w:val="000000"/>
          <w:sz w:val="28"/>
          <w:szCs w:val="28"/>
        </w:rPr>
        <w:t>КУ.</w:t>
      </w:r>
    </w:p>
    <w:p w:rsidR="002E5A20" w:rsidRDefault="002E5A20" w:rsidP="000E59FB">
      <w:pPr>
        <w:pStyle w:val="3f3f3f3f3f3f3f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D5E07" w:rsidRPr="004974EE" w:rsidRDefault="00BD5E07" w:rsidP="004974EE">
      <w:pPr>
        <w:pStyle w:val="2"/>
      </w:pPr>
      <w:r w:rsidRPr="004974EE">
        <w:t>Введение</w:t>
      </w:r>
    </w:p>
    <w:p w:rsidR="00653B82" w:rsidRDefault="002E5A20" w:rsidP="00653B82">
      <w:r w:rsidRPr="004974EE">
        <w:t xml:space="preserve">Настоящая </w:t>
      </w:r>
      <w:r w:rsidR="00BD5E07" w:rsidRPr="004974EE">
        <w:t>работа</w:t>
      </w:r>
      <w:r w:rsidRPr="004974EE">
        <w:t xml:space="preserve"> </w:t>
      </w:r>
      <w:r w:rsidR="00BD5E07" w:rsidRPr="004974EE">
        <w:t>посвящена</w:t>
      </w:r>
      <w:r w:rsidRPr="004974EE">
        <w:t xml:space="preserve"> </w:t>
      </w:r>
      <w:r w:rsidR="00BD5E07" w:rsidRPr="004974EE">
        <w:t xml:space="preserve">одной </w:t>
      </w:r>
      <w:r w:rsidRPr="004974EE">
        <w:t>из важнейших проблем практической электроразведки – получение достоверных данных при проведении работ методом магнитотеллурического зондирования (МТЗ)</w:t>
      </w:r>
      <w:r w:rsidR="00BD5E07" w:rsidRPr="004974EE">
        <w:t xml:space="preserve"> в сложных полевых условиях</w:t>
      </w:r>
      <w:r w:rsidRPr="004974EE">
        <w:t xml:space="preserve">. Индукционные датчики, являющиеся прецизионными первичными магнитными преобразователями, широко используются практически во всех измерениях переменного магнитного поля магнитотеллурическими методами. При кажущейся простоте </w:t>
      </w:r>
      <w:r w:rsidR="00C0179C" w:rsidRPr="004974EE">
        <w:t xml:space="preserve">и прочности </w:t>
      </w:r>
      <w:r w:rsidRPr="004974EE">
        <w:t>конструкции (банальный внешний вид по сравнению с квантовым или протонным магнитометром), индукционный датчик является сложным и, как все точные приборы, довольно капризным инструментом, требующим аккуратного обращения и постоянного внимания к себе. В конструкции индукционных датчиков применяются современные материалы очень чувствительные к механическим воздействиям.</w:t>
      </w:r>
      <w:r w:rsidR="0078009A" w:rsidRPr="004974EE">
        <w:t xml:space="preserve"> При </w:t>
      </w:r>
      <w:r w:rsidR="0078009A" w:rsidRPr="004974EE">
        <w:lastRenderedPageBreak/>
        <w:t>производстве к</w:t>
      </w:r>
      <w:r w:rsidRPr="004974EE">
        <w:t>онструк</w:t>
      </w:r>
      <w:r w:rsidR="00C0179C" w:rsidRPr="004974EE">
        <w:t>цион</w:t>
      </w:r>
      <w:r w:rsidRPr="004974EE">
        <w:t>ные элементы прохо</w:t>
      </w:r>
      <w:r w:rsidR="0078009A" w:rsidRPr="004974EE">
        <w:t xml:space="preserve">дят на обработку на станках </w:t>
      </w:r>
      <w:r w:rsidR="00C0179C" w:rsidRPr="004974EE">
        <w:t xml:space="preserve">с </w:t>
      </w:r>
      <w:r w:rsidR="0078009A" w:rsidRPr="004974EE">
        <w:t>ЧПУ, а</w:t>
      </w:r>
      <w:r w:rsidRPr="004974EE">
        <w:t xml:space="preserve"> </w:t>
      </w:r>
      <w:r w:rsidR="0078009A" w:rsidRPr="004974EE">
        <w:t>с</w:t>
      </w:r>
      <w:r w:rsidRPr="004974EE">
        <w:t xml:space="preserve">борка датчиков ведётся в комфортных лабораторных условиях. Настройка и проверка </w:t>
      </w:r>
      <w:r w:rsidR="005B7D75" w:rsidRPr="004974EE">
        <w:t xml:space="preserve">индукционных датчиков </w:t>
      </w:r>
      <w:r w:rsidRPr="004974EE">
        <w:t>проводится в условиях отсутс</w:t>
      </w:r>
      <w:r w:rsidR="005B7D75" w:rsidRPr="004974EE">
        <w:t>твия каких-либо магнитных помех, как правило, вдалеке от городов и поселений</w:t>
      </w:r>
      <w:r w:rsidR="00C0179C" w:rsidRPr="004974EE">
        <w:t xml:space="preserve"> или с использованием специализированных магнитных экранов</w:t>
      </w:r>
      <w:r w:rsidR="00653B82">
        <w:t>.</w:t>
      </w:r>
    </w:p>
    <w:p w:rsidR="00E10F93" w:rsidRDefault="005B7D75" w:rsidP="00E10F93">
      <w:r w:rsidRPr="004974EE">
        <w:t xml:space="preserve">Неаккуратные действия операторов при производстве геофизических работ или, например, </w:t>
      </w:r>
      <w:r w:rsidR="00133C66" w:rsidRPr="004974EE">
        <w:t xml:space="preserve">грубая транспортировка </w:t>
      </w:r>
      <w:r w:rsidR="00C0179C" w:rsidRPr="004974EE">
        <w:t>приборов</w:t>
      </w:r>
      <w:r w:rsidR="00133C66" w:rsidRPr="004974EE">
        <w:t xml:space="preserve"> могут привести к изменению заводских характеристик датчиков. С выходного каскада датчика может поступать, на первый взгляд, удовлетворительный сигнал, по которому можно судить, что электрическая схема </w:t>
      </w:r>
      <w:r w:rsidR="00C0179C" w:rsidRPr="004974EE">
        <w:t>первичного преобразователя</w:t>
      </w:r>
      <w:r w:rsidR="00133C66" w:rsidRPr="004974EE">
        <w:t xml:space="preserve"> в порядке, но при этом внутри у него могут быть скрытые механические повреждения</w:t>
      </w:r>
      <w:r w:rsidR="00EB5B09" w:rsidRPr="004974EE">
        <w:t xml:space="preserve"> (повреждение или расслоение стержня магнитопровода, смещение приемных катушек относительно центральной оси и т.п.)</w:t>
      </w:r>
      <w:r w:rsidR="00133C66" w:rsidRPr="004974EE">
        <w:t xml:space="preserve">. Такие поломки зачастую можно диагностировать только в лабораторных условиях, </w:t>
      </w:r>
      <w:r w:rsidR="00C0179C" w:rsidRPr="004974EE">
        <w:t>но они могут приводить к изменению основных электрических характеристик индукционных датчиков, что, в свою очередь, приводит к некорректным результатам интерпретации построенных кривых</w:t>
      </w:r>
      <w:r w:rsidR="00EB5B09" w:rsidRPr="004974EE">
        <w:t xml:space="preserve"> МТЗ.</w:t>
      </w:r>
    </w:p>
    <w:p w:rsidR="00752F5F" w:rsidRDefault="00752F5F" w:rsidP="00752F5F">
      <w:pPr>
        <w:pStyle w:val="2"/>
      </w:pPr>
      <w:r>
        <w:t>Типовые установки для калибровки индукционных датчиков</w:t>
      </w:r>
    </w:p>
    <w:p w:rsidR="00752F5F" w:rsidRDefault="00752F5F" w:rsidP="00E10F93">
      <w:r>
        <w:t xml:space="preserve">Особенности конструкции индукционных преобразователей, используемых в электроразведке для регистрации низкочастотных магнитных полей требуют </w:t>
      </w:r>
      <w:r w:rsidR="00A715E0">
        <w:t>создания довольно громоздких калибр</w:t>
      </w:r>
      <w:r w:rsidR="005B67AA">
        <w:t>овочных установок, которые пригодны использования только для в стационарных условиях.</w:t>
      </w:r>
      <w:r w:rsidR="00A715E0">
        <w:t xml:space="preserve"> Так, например, для создания однородного не искажённого магнитного потока в области исследуемого образца индукционного датчика, необходимо рассчитать соленоид или кольца Гельмгольца, размеры которых в несколько раз превышают длину магнитометра. Обычно </w:t>
      </w:r>
      <w:r w:rsidR="005B67AA">
        <w:t xml:space="preserve">линейные размеры установки должны быть, по крайней мере, в три раза длиннее, чем длина датчика. </w:t>
      </w:r>
      <w:r w:rsidR="00267E18">
        <w:t>(</w:t>
      </w:r>
      <w:r w:rsidR="00267E18" w:rsidRPr="00250179">
        <w:t>Яновский</w:t>
      </w:r>
      <w:r w:rsidR="00250179">
        <w:t>, 1963</w:t>
      </w:r>
      <w:r w:rsidR="00267E18">
        <w:t>)</w:t>
      </w:r>
      <w:r w:rsidR="00467EAE">
        <w:t>.</w:t>
      </w:r>
      <w:r w:rsidR="008F1185">
        <w:t xml:space="preserve"> </w:t>
      </w:r>
      <w:r w:rsidR="005B67AA">
        <w:t xml:space="preserve">То есть, </w:t>
      </w:r>
      <w:r w:rsidR="00267E18">
        <w:t xml:space="preserve">если </w:t>
      </w:r>
      <w:r w:rsidR="005B67AA">
        <w:t xml:space="preserve">для магнитометров известных производителей </w:t>
      </w:r>
      <w:r w:rsidR="005B67AA" w:rsidRPr="005B67AA">
        <w:t>типичная длина низкочастотного индукционного датчика превышает 1</w:t>
      </w:r>
      <w:r w:rsidR="00267E18">
        <w:t xml:space="preserve"> метр, то легко подсчитать, что сторона колец Гельмгольца должна быть 6 метров. </w:t>
      </w:r>
      <w:r w:rsidR="00A13CDA">
        <w:t>Из известных коммерческих калибровочных систем самая большая имеет размеры 4 метра (</w:t>
      </w:r>
      <w:r w:rsidR="0086483A">
        <w:rPr>
          <w:lang w:val="en-US"/>
        </w:rPr>
        <w:t>MEDA</w:t>
      </w:r>
      <w:r w:rsidR="0086483A" w:rsidRPr="0086483A">
        <w:t xml:space="preserve"> </w:t>
      </w:r>
      <w:r w:rsidR="0086483A">
        <w:rPr>
          <w:lang w:val="en-US"/>
        </w:rPr>
        <w:t>Inc</w:t>
      </w:r>
      <w:r w:rsidR="0086483A" w:rsidRPr="0086483A">
        <w:t>.</w:t>
      </w:r>
      <w:r w:rsidR="00A13CDA">
        <w:t>)</w:t>
      </w:r>
      <w:r w:rsidR="001B46DF">
        <w:t>, рисунок 1</w:t>
      </w:r>
      <w:r w:rsidR="00267E18">
        <w:t>. На практике метрологические организации и производители магнитометрического оборудования идут по пути использования установок соленоидального типа</w:t>
      </w:r>
      <w:r w:rsidR="0016092D">
        <w:t xml:space="preserve"> </w:t>
      </w:r>
      <w:r w:rsidR="001201F8">
        <w:t>рисунок 2 (</w:t>
      </w:r>
      <w:r w:rsidR="001201F8">
        <w:rPr>
          <w:lang w:val="en-US"/>
        </w:rPr>
        <w:t>Pulz</w:t>
      </w:r>
      <w:r w:rsidR="001201F8" w:rsidRPr="0086483A">
        <w:t>, 2001</w:t>
      </w:r>
      <w:r w:rsidR="001201F8" w:rsidRPr="0016092D">
        <w:t>)</w:t>
      </w:r>
      <w:r w:rsidR="005D7005">
        <w:t>, зачастую с применением магнитных экранов</w:t>
      </w:r>
      <w:r w:rsidR="0016092D">
        <w:t xml:space="preserve">. На рисунке </w:t>
      </w:r>
      <w:r w:rsidR="001201F8">
        <w:t>3</w:t>
      </w:r>
      <w:r w:rsidR="0016092D">
        <w:t xml:space="preserve"> представлена экранированная мера магнитной индукции </w:t>
      </w:r>
      <w:r w:rsidR="00940054">
        <w:t>ЭДММ-1</w:t>
      </w:r>
      <w:r w:rsidR="00950CA4">
        <w:t xml:space="preserve"> </w:t>
      </w:r>
      <w:r w:rsidR="0016092D">
        <w:t>производства АО «Геологоразведка»</w:t>
      </w:r>
      <w:r w:rsidR="005D7005">
        <w:t xml:space="preserve">. Такие калибровочные </w:t>
      </w:r>
      <w:r w:rsidR="005D7005">
        <w:lastRenderedPageBreak/>
        <w:t>установки обеспечивают точность эталонирования и</w:t>
      </w:r>
      <w:r w:rsidR="00940054">
        <w:t xml:space="preserve">сследуемого образца не </w:t>
      </w:r>
      <w:r w:rsidR="00940054" w:rsidRPr="001B46D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831BA5" wp14:editId="1CC844BD">
            <wp:simplePos x="0" y="0"/>
            <wp:positionH relativeFrom="column">
              <wp:posOffset>1480185</wp:posOffset>
            </wp:positionH>
            <wp:positionV relativeFrom="paragraph">
              <wp:posOffset>593725</wp:posOffset>
            </wp:positionV>
            <wp:extent cx="3023235" cy="2268855"/>
            <wp:effectExtent l="0" t="0" r="5715" b="0"/>
            <wp:wrapTopAndBottom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54">
        <w:t>хуже 1 %</w:t>
      </w:r>
      <w:r w:rsidR="005D7005">
        <w:t xml:space="preserve"> в широком диапазоне частот.</w:t>
      </w:r>
    </w:p>
    <w:p w:rsidR="00940054" w:rsidRPr="001201F8" w:rsidRDefault="00940054" w:rsidP="00940054">
      <w:pPr>
        <w:ind w:firstLine="0"/>
        <w:jc w:val="center"/>
        <w:rPr>
          <w:i/>
        </w:rPr>
      </w:pPr>
      <w:r w:rsidRPr="008E7E2D">
        <w:rPr>
          <w:i/>
        </w:rPr>
        <w:t>Рис.</w:t>
      </w:r>
      <w:r>
        <w:rPr>
          <w:i/>
        </w:rPr>
        <w:t>1.</w:t>
      </w:r>
      <w:r w:rsidRPr="008E7E2D">
        <w:rPr>
          <w:i/>
        </w:rPr>
        <w:t xml:space="preserve"> </w:t>
      </w:r>
      <w:r>
        <w:rPr>
          <w:i/>
        </w:rPr>
        <w:t xml:space="preserve">Калибровочная установка на базе колец Гельмгольца </w:t>
      </w:r>
      <w:r>
        <w:rPr>
          <w:i/>
          <w:lang w:val="en-US"/>
        </w:rPr>
        <w:t>MED</w:t>
      </w:r>
      <w:r w:rsidR="001701A1">
        <w:rPr>
          <w:i/>
          <w:lang w:val="en-US"/>
        </w:rPr>
        <w:t>A</w:t>
      </w:r>
      <w:r w:rsidRPr="001201F8">
        <w:rPr>
          <w:i/>
        </w:rPr>
        <w:t xml:space="preserve"> </w:t>
      </w:r>
      <w:r>
        <w:rPr>
          <w:i/>
          <w:lang w:val="en-US"/>
        </w:rPr>
        <w:t>Inc</w:t>
      </w:r>
      <w:r w:rsidRPr="001201F8">
        <w:rPr>
          <w:i/>
        </w:rPr>
        <w:t>.</w:t>
      </w:r>
    </w:p>
    <w:p w:rsidR="00940054" w:rsidRDefault="00940054" w:rsidP="00E10F9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FEE1FA" wp14:editId="5E302110">
            <wp:simplePos x="0" y="0"/>
            <wp:positionH relativeFrom="column">
              <wp:posOffset>1527810</wp:posOffset>
            </wp:positionH>
            <wp:positionV relativeFrom="paragraph">
              <wp:posOffset>247650</wp:posOffset>
            </wp:positionV>
            <wp:extent cx="3023870" cy="2267585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16002" r="-1943" b="16340"/>
                    <a:stretch/>
                  </pic:blipFill>
                  <pic:spPr bwMode="auto">
                    <a:xfrm rot="10800000">
                      <a:off x="0" y="0"/>
                      <a:ext cx="302387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2DF">
        <w:t xml:space="preserve"> </w:t>
      </w:r>
    </w:p>
    <w:p w:rsidR="00940054" w:rsidRPr="001701A1" w:rsidRDefault="00940054" w:rsidP="00940054">
      <w:pPr>
        <w:ind w:firstLine="0"/>
        <w:jc w:val="center"/>
        <w:rPr>
          <w:i/>
        </w:rPr>
      </w:pPr>
      <w:r w:rsidRPr="001201F8">
        <w:rPr>
          <w:i/>
        </w:rPr>
        <w:t>Рис.</w:t>
      </w:r>
      <w:r>
        <w:rPr>
          <w:i/>
        </w:rPr>
        <w:t>2</w:t>
      </w:r>
      <w:r w:rsidRPr="001201F8">
        <w:rPr>
          <w:i/>
        </w:rPr>
        <w:t xml:space="preserve">. Калибровочная система компании </w:t>
      </w:r>
      <w:r w:rsidRPr="001201F8">
        <w:rPr>
          <w:i/>
          <w:lang w:val="en-US"/>
        </w:rPr>
        <w:t>Metronix</w:t>
      </w:r>
      <w:r w:rsidR="001701A1">
        <w:rPr>
          <w:i/>
        </w:rPr>
        <w:t>.</w:t>
      </w:r>
    </w:p>
    <w:p w:rsidR="008E7E2D" w:rsidRDefault="00940054" w:rsidP="00E10F9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FCA87C" wp14:editId="4BD88A71">
            <wp:simplePos x="0" y="0"/>
            <wp:positionH relativeFrom="column">
              <wp:posOffset>1565910</wp:posOffset>
            </wp:positionH>
            <wp:positionV relativeFrom="paragraph">
              <wp:posOffset>210820</wp:posOffset>
            </wp:positionV>
            <wp:extent cx="3023870" cy="226822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r="100"/>
                    <a:stretch/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F8" w:rsidRDefault="001201F8" w:rsidP="001201F8">
      <w:pPr>
        <w:ind w:firstLine="0"/>
        <w:jc w:val="center"/>
      </w:pPr>
      <w:r>
        <w:rPr>
          <w:i/>
        </w:rPr>
        <w:t xml:space="preserve"> </w:t>
      </w:r>
      <w:r w:rsidRPr="001B46DF">
        <w:rPr>
          <w:i/>
        </w:rPr>
        <w:t>Рис.</w:t>
      </w:r>
      <w:r w:rsidR="00CA5166">
        <w:rPr>
          <w:i/>
        </w:rPr>
        <w:t>3</w:t>
      </w:r>
      <w:r w:rsidRPr="001B46DF">
        <w:rPr>
          <w:i/>
        </w:rPr>
        <w:t>. Мера</w:t>
      </w:r>
      <w:r w:rsidRPr="008E7E2D">
        <w:rPr>
          <w:i/>
        </w:rPr>
        <w:t xml:space="preserve"> магнитной индукции ЭДММ</w:t>
      </w:r>
      <w:r w:rsidR="00940054">
        <w:rPr>
          <w:i/>
        </w:rPr>
        <w:t>-1</w:t>
      </w:r>
      <w:r w:rsidR="001701A1">
        <w:rPr>
          <w:i/>
        </w:rPr>
        <w:t>.</w:t>
      </w:r>
    </w:p>
    <w:p w:rsidR="00940054" w:rsidRDefault="00940054" w:rsidP="00E10F93"/>
    <w:p w:rsidR="0016092D" w:rsidRDefault="0016092D" w:rsidP="00E10F93">
      <w:r>
        <w:lastRenderedPageBreak/>
        <w:t xml:space="preserve">Как видно из рисунков </w:t>
      </w:r>
      <w:r w:rsidR="00CA5166">
        <w:t xml:space="preserve">такие системы должны монтироваться и эксплуатироваться в стационарных условиях. </w:t>
      </w:r>
      <w:r w:rsidR="00F71A66">
        <w:t>Кроме того,</w:t>
      </w:r>
      <w:r w:rsidR="00CA5166">
        <w:t xml:space="preserve"> к помещению, в котором располагается установка</w:t>
      </w:r>
      <w:r w:rsidR="00F71A66">
        <w:t>,</w:t>
      </w:r>
      <w:r w:rsidR="00CA5166">
        <w:t xml:space="preserve"> предъявляются особые требования </w:t>
      </w:r>
      <w:r w:rsidR="00F71A66">
        <w:t xml:space="preserve">по остаточной намагниченности, минимальной сейсмичности и максимальной удалённости от </w:t>
      </w:r>
      <w:r w:rsidR="00BD4D9C">
        <w:t xml:space="preserve">источников </w:t>
      </w:r>
      <w:r w:rsidR="00F71A66">
        <w:t>электромагнитных помех.</w:t>
      </w:r>
    </w:p>
    <w:p w:rsidR="00C461FC" w:rsidRDefault="00C461FC" w:rsidP="00E10F93">
      <w:r w:rsidRPr="00A532D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A98A3B" wp14:editId="6F28DA03">
            <wp:simplePos x="0" y="0"/>
            <wp:positionH relativeFrom="column">
              <wp:posOffset>1270635</wp:posOffset>
            </wp:positionH>
            <wp:positionV relativeFrom="paragraph">
              <wp:posOffset>993140</wp:posOffset>
            </wp:positionV>
            <wp:extent cx="3023870" cy="2267585"/>
            <wp:effectExtent l="0" t="0" r="5080" b="0"/>
            <wp:wrapTopAndBottom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-159" r="150" b="113"/>
                    <a:stretch/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C7">
        <w:t xml:space="preserve">В компании ВЕГА для калибровки и настройки индукционных магнитных датчиков были разработаны и изготовлены </w:t>
      </w:r>
      <w:r w:rsidR="00A532DF">
        <w:t xml:space="preserve">специальные средства калибровки, ориентированные на линейку индукционных датчиков, выпускаемых компанией. </w:t>
      </w:r>
    </w:p>
    <w:p w:rsidR="00C461FC" w:rsidRPr="00A532DF" w:rsidRDefault="00C461FC" w:rsidP="00C461FC">
      <w:pPr>
        <w:ind w:firstLine="0"/>
        <w:jc w:val="center"/>
        <w:rPr>
          <w:i/>
        </w:rPr>
      </w:pPr>
      <w:r w:rsidRPr="00A532DF">
        <w:rPr>
          <w:i/>
        </w:rPr>
        <w:t>Рис.4. Калибровочная установка магнитно-экранированная (КУМЭ)</w:t>
      </w:r>
      <w:r w:rsidR="001701A1">
        <w:rPr>
          <w:i/>
        </w:rPr>
        <w:t>.</w:t>
      </w:r>
    </w:p>
    <w:p w:rsidR="00C461FC" w:rsidRDefault="00C461FC" w:rsidP="00E10F93"/>
    <w:p w:rsidR="00F71A66" w:rsidRDefault="00C570FF" w:rsidP="00E10F9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A70B6C" wp14:editId="1A6E17F6">
            <wp:simplePos x="0" y="0"/>
            <wp:positionH relativeFrom="column">
              <wp:posOffset>1346835</wp:posOffset>
            </wp:positionH>
            <wp:positionV relativeFrom="paragraph">
              <wp:posOffset>1221740</wp:posOffset>
            </wp:positionV>
            <wp:extent cx="3023870" cy="2267585"/>
            <wp:effectExtent l="0" t="0" r="5080" b="0"/>
            <wp:wrapTopAndBottom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4" t="4251" r="1390" b="-4269"/>
                    <a:stretch/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2DF">
        <w:t xml:space="preserve">На рисунке 4 представлен четырёхслойный магнитный экран с </w:t>
      </w:r>
      <w:r w:rsidR="001037A4">
        <w:t>мало моментным</w:t>
      </w:r>
      <w:r w:rsidR="00A532DF">
        <w:t xml:space="preserve"> калибровочным соленоидом внутри. Такая установка позволяет настраивать и производить предварительную калибровку индукционных датчиков непосредственно в условиях городской лаборатории.</w:t>
      </w:r>
    </w:p>
    <w:p w:rsidR="00A532DF" w:rsidRPr="00C570FF" w:rsidRDefault="00C570FF" w:rsidP="00C570FF">
      <w:pPr>
        <w:ind w:firstLine="0"/>
        <w:jc w:val="center"/>
        <w:rPr>
          <w:i/>
        </w:rPr>
      </w:pPr>
      <w:r w:rsidRPr="00C570FF">
        <w:rPr>
          <w:i/>
        </w:rPr>
        <w:t>Рис. 5. Установка для исследования характеристик КУМЭ</w:t>
      </w:r>
      <w:r w:rsidR="001701A1">
        <w:rPr>
          <w:i/>
        </w:rPr>
        <w:t>.</w:t>
      </w:r>
    </w:p>
    <w:p w:rsidR="00C570FF" w:rsidRDefault="00C570FF" w:rsidP="00E10F93"/>
    <w:p w:rsidR="00A532DF" w:rsidRDefault="00A532DF" w:rsidP="00E10F93">
      <w:r>
        <w:lastRenderedPageBreak/>
        <w:t xml:space="preserve">Для определения экранирующих свойств КУМЭ были рассчитаны и изготовлены </w:t>
      </w:r>
      <w:r w:rsidR="00F112A0">
        <w:t>кольца Гельмгольца, которые были смонтированы на площадке обсерватории Красное Озеро (СПбФ ИЗМИРАН)</w:t>
      </w:r>
      <w:r w:rsidR="00C570FF">
        <w:t>, рисунок 5</w:t>
      </w:r>
      <w:r w:rsidR="00F112A0">
        <w:t>.</w:t>
      </w:r>
      <w:r w:rsidR="00C53818">
        <w:t xml:space="preserve"> </w:t>
      </w:r>
      <w:r w:rsidR="0082761D">
        <w:t>Параметры и р</w:t>
      </w:r>
      <w:r w:rsidR="00C53818">
        <w:t>езультаты</w:t>
      </w:r>
      <w:r w:rsidR="0082761D">
        <w:t xml:space="preserve"> обследования КУМЭ были представлены на </w:t>
      </w:r>
      <w:r w:rsidR="0082761D" w:rsidRPr="0082761D">
        <w:rPr>
          <w:lang w:val="en-US"/>
        </w:rPr>
        <w:t>VIII</w:t>
      </w:r>
      <w:r w:rsidR="0082761D" w:rsidRPr="0082761D">
        <w:t xml:space="preserve"> Всероссийск</w:t>
      </w:r>
      <w:r w:rsidR="0082761D">
        <w:t>ой</w:t>
      </w:r>
      <w:r w:rsidR="0082761D" w:rsidRPr="0082761D">
        <w:t xml:space="preserve"> школ</w:t>
      </w:r>
      <w:r w:rsidR="0082761D">
        <w:t>е</w:t>
      </w:r>
      <w:r w:rsidR="0082761D" w:rsidRPr="0082761D">
        <w:t>-семинар</w:t>
      </w:r>
      <w:r w:rsidR="0082761D">
        <w:t>е</w:t>
      </w:r>
      <w:r w:rsidR="0082761D" w:rsidRPr="0082761D">
        <w:t xml:space="preserve"> ЭМЗ-2021</w:t>
      </w:r>
      <w:r w:rsidR="0082761D">
        <w:t xml:space="preserve"> (Копытенко и др., 2021).</w:t>
      </w:r>
    </w:p>
    <w:p w:rsidR="0082761D" w:rsidRDefault="007C5B29" w:rsidP="00BF6A2E">
      <w:pPr>
        <w:pStyle w:val="2"/>
      </w:pPr>
      <w:r>
        <w:t xml:space="preserve">Влияние изменчивости АЧХ и ФЧХ </w:t>
      </w:r>
      <w:r w:rsidR="001701A1">
        <w:t xml:space="preserve">индукционных датчиков на результаты магнитотеллурических зондирований </w:t>
      </w:r>
    </w:p>
    <w:p w:rsidR="00BF6A2E" w:rsidRDefault="00B97C3B" w:rsidP="00E10F93">
      <w:r w:rsidRPr="004974EE"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589766" wp14:editId="51B503AA">
            <wp:simplePos x="0" y="0"/>
            <wp:positionH relativeFrom="column">
              <wp:posOffset>299085</wp:posOffset>
            </wp:positionH>
            <wp:positionV relativeFrom="paragraph">
              <wp:posOffset>1804035</wp:posOffset>
            </wp:positionV>
            <wp:extent cx="5486400" cy="3086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2E">
        <w:t xml:space="preserve">В этом разделе мы хотим обратить внимание на проблему возникшую в результате, теперь уже, многолетнего использования индукционных датчиков в жёстких полевых условиях. </w:t>
      </w:r>
      <w:r>
        <w:t xml:space="preserve">На рисунках </w:t>
      </w:r>
      <w:r w:rsidRPr="00B97C3B">
        <w:t>6,</w:t>
      </w:r>
      <w:r w:rsidR="00BF6A2E">
        <w:t xml:space="preserve"> </w:t>
      </w:r>
      <w:r>
        <w:t xml:space="preserve">представлены амплитудные и фазовые частотные характеристики индукционных датчиков </w:t>
      </w:r>
      <w:r>
        <w:rPr>
          <w:lang w:val="en-US"/>
        </w:rPr>
        <w:t>VEGA</w:t>
      </w:r>
      <w:r w:rsidRPr="00B97C3B">
        <w:t xml:space="preserve"> </w:t>
      </w:r>
      <w:r>
        <w:rPr>
          <w:lang w:val="en-US"/>
        </w:rPr>
        <w:t>IMS</w:t>
      </w:r>
      <w:r w:rsidRPr="00B97C3B">
        <w:t>-007</w:t>
      </w:r>
      <w:r>
        <w:t>, поступивших в технический отдел компании после эксплуатации сервисными компаниями в реальных условиях коммерческих проектов.</w:t>
      </w:r>
      <w:r w:rsidR="007A4AD9">
        <w:t xml:space="preserve"> Испытания проводились на одних и тех же калибровочных установках.</w:t>
      </w:r>
    </w:p>
    <w:p w:rsidR="00B97C3B" w:rsidRPr="00B97C3B" w:rsidRDefault="00B97C3B" w:rsidP="00B97C3B">
      <w:pPr>
        <w:ind w:firstLine="0"/>
        <w:jc w:val="center"/>
        <w:rPr>
          <w:i/>
        </w:rPr>
      </w:pPr>
      <w:r w:rsidRPr="00B97C3B">
        <w:rPr>
          <w:i/>
          <w:highlight w:val="yellow"/>
        </w:rPr>
        <w:t>Рис.6. АЧХ и ФЧХ индукционных датчиков после работы в жёстких условиях</w:t>
      </w:r>
      <w:r w:rsidR="001701A1">
        <w:rPr>
          <w:i/>
        </w:rPr>
        <w:t>.</w:t>
      </w:r>
    </w:p>
    <w:p w:rsidR="006E6664" w:rsidRPr="007A4AD9" w:rsidRDefault="006E6664" w:rsidP="00B97C3B">
      <w:pPr>
        <w:pStyle w:val="a3"/>
        <w:ind w:firstLine="0"/>
        <w:rPr>
          <w:rFonts w:cs="Times New Roman"/>
          <w:i w:val="0"/>
          <w:color w:val="000000"/>
          <w:sz w:val="28"/>
          <w:szCs w:val="28"/>
        </w:rPr>
      </w:pPr>
    </w:p>
    <w:p w:rsidR="003F5BA4" w:rsidRDefault="00B97C3B" w:rsidP="004974EE">
      <w:r>
        <w:t xml:space="preserve">Следует заметить, что во время лабораторных обследований этих датчиков после годичной эксплуатации такие параметры как выходной сигнал и «калибровки» с помощью встроенных внутренних колец дают вполне удовлетворительные результаты. Тем не менее ниже мы покажем к чему могут привести не корректные калибровки, проводимые с помощью встроенных внутренних колец. </w:t>
      </w:r>
      <w:r w:rsidRPr="004974EE">
        <w:t xml:space="preserve">На графиках </w:t>
      </w:r>
      <w:r>
        <w:t xml:space="preserve">рисунка 6 </w:t>
      </w:r>
      <w:r w:rsidRPr="004974EE">
        <w:t>п</w:t>
      </w:r>
      <w:r>
        <w:t>редставлены только высокочастотные</w:t>
      </w:r>
      <w:r w:rsidRPr="004974EE">
        <w:t xml:space="preserve"> </w:t>
      </w:r>
      <w:r>
        <w:t>области</w:t>
      </w:r>
      <w:r w:rsidRPr="004974EE">
        <w:t xml:space="preserve"> характеристик, так как низкочаст</w:t>
      </w:r>
      <w:r>
        <w:t xml:space="preserve">отная часть осталась </w:t>
      </w:r>
      <w:r>
        <w:lastRenderedPageBreak/>
        <w:t>неизменной и именно эта низкочастотная область АЧХ ответственна за уровень выходного сигнала, определяемого с помощью встроенной калибровочной катушки.</w:t>
      </w:r>
      <w:r w:rsidRPr="004974EE">
        <w:t xml:space="preserve"> </w:t>
      </w:r>
      <w:r w:rsidR="007A4AD9">
        <w:t>Из графиков рисунка 6 видно, что незначительные различия в характеристиках начинаются уже с двухсот</w:t>
      </w:r>
      <w:r w:rsidR="00F66BEA">
        <w:t xml:space="preserve"> герц, а на тысяче герц отличия в АЧХ уже превышают 20%. Причиной таких изменений могут быть </w:t>
      </w:r>
      <w:r w:rsidR="00F66BEA" w:rsidRPr="004974EE">
        <w:t>механически</w:t>
      </w:r>
      <w:r w:rsidR="00F66BEA">
        <w:t>е</w:t>
      </w:r>
      <w:r w:rsidR="00F66BEA" w:rsidRPr="004974EE">
        <w:t xml:space="preserve"> повреждениям внутренних компонентов датчика</w:t>
      </w:r>
      <w:r w:rsidR="00D41987">
        <w:t>,</w:t>
      </w:r>
      <w:r w:rsidR="00F66BEA" w:rsidRPr="004974EE">
        <w:t xml:space="preserve"> </w:t>
      </w:r>
      <w:r w:rsidR="00F66BEA">
        <w:t>небольшие смещения катушек</w:t>
      </w:r>
      <w:r w:rsidR="00D41987">
        <w:t>, а также поломка магнитопровода в результате</w:t>
      </w:r>
      <w:r w:rsidR="00473D41" w:rsidRPr="004974EE">
        <w:t xml:space="preserve"> механических воздействий, таких как удары, </w:t>
      </w:r>
      <w:r w:rsidR="00F66BEA">
        <w:t xml:space="preserve">нахождение в условиях продолжительной </w:t>
      </w:r>
      <w:r w:rsidR="00D41987">
        <w:t>вибрации и</w:t>
      </w:r>
      <w:r w:rsidR="00473D41" w:rsidRPr="004974EE">
        <w:t xml:space="preserve"> </w:t>
      </w:r>
      <w:r w:rsidR="00F66BEA">
        <w:t xml:space="preserve">значительные </w:t>
      </w:r>
      <w:r w:rsidR="00473D41" w:rsidRPr="004974EE">
        <w:t>температурные перепады.</w:t>
      </w:r>
    </w:p>
    <w:p w:rsidR="00F30129" w:rsidRDefault="00C90451" w:rsidP="00AE01C9">
      <w:pPr>
        <w:rPr>
          <w:noProof/>
          <w:lang w:eastAsia="ru-RU"/>
        </w:rPr>
      </w:pPr>
      <w:r w:rsidRPr="00F30129">
        <w:rPr>
          <w:rFonts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E4CAE" wp14:editId="4BD05DE4">
                <wp:simplePos x="0" y="0"/>
                <wp:positionH relativeFrom="margin">
                  <wp:posOffset>1907540</wp:posOffset>
                </wp:positionH>
                <wp:positionV relativeFrom="paragraph">
                  <wp:posOffset>1519507</wp:posOffset>
                </wp:positionV>
                <wp:extent cx="2780248" cy="623056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CAD5E51-01FA-4AC4-B628-8B0FDAE974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248" cy="6230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11C7" w:rsidRDefault="000411C7" w:rsidP="004974EE">
                            <w:pPr>
                              <w:pStyle w:val="a4"/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Δ</m:t>
                              </m:r>
                              <m: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ρ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U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lang w:val="en-U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US"/>
                                                </w:rPr>
                                                <m:t>E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US"/>
                                                </w:rPr>
                                                <m:t>B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lang w:val="en-US"/>
                                                </w:rPr>
                                                <m:t>(1+</m:t>
                                              </m:r>
                                              <m:r>
                                                <w:rPr>
                                                  <w:rFonts w:ascii="Cambria Math" w:hAnsi="Cambria Math"/>
                                                  <w:lang w:val="en-US"/>
                                                </w:rPr>
                                                <m:t>k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  <w:lang w:val="en-US"/>
                                                </w:rPr>
                                                <m:t>)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eastAsia="Cambria Math" w:hAnsi="Cambria Math"/>
                                      <w:lang w:val="en-US"/>
                                    </w:rPr>
                                    <m:t>ωμ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="Calibri"/>
                                <w:lang w:val="en-US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val="en-US"/>
                                            </w:rPr>
                                            <m:t>1+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lang w:val="en-US"/>
                                            </w:rPr>
                                            <m:t>k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const</m:t>
                              </m:r>
                            </m:oMath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E4CAE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150.2pt;margin-top:119.65pt;width:218.9pt;height:49.0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" filled="f" stroked="f">
                <v:textbox style="mso-fit-shape-to-text:t" inset="0,0,0,0">
                  <w:txbxContent>
                    <w:p w:rsidR="000411C7" w:rsidRDefault="000411C7" w:rsidP="004974EE">
                      <w:pPr>
                        <w:pStyle w:val="a4"/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eastAsia="Cambria Math" w:hAnsi="Cambria Math"/>
                            <w:lang w:val="en-US"/>
                          </w:rPr>
                          <m:t>ρ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lang w:val="en-US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Cs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B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(1+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k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eastAsia="Cambria Math" w:hAnsi="Cambria Math"/>
                                <w:lang w:val="en-US"/>
                              </w:rPr>
                              <m:t>ωμ</m:t>
                            </m:r>
                          </m:den>
                        </m:f>
                      </m:oMath>
                      <w:r>
                        <w:rPr>
                          <w:rFonts w:asciiTheme="minorHAnsi" w:hAnsi="Calibri"/>
                          <w:lang w:val="en-US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Cs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1+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lang w:val="en-US"/>
                          </w:rPr>
                          <m:t>∙</m:t>
                        </m:r>
                        <m:r>
                          <w:rPr>
                            <w:rFonts w:ascii="Cambria Math" w:eastAsia="Cambria Math" w:hAnsi="Cambria Math"/>
                            <w:lang w:val="en-US"/>
                          </w:rPr>
                          <m:t>const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051B97">
        <w:rPr>
          <w:noProof/>
          <w:lang w:eastAsia="ru-RU"/>
        </w:rPr>
        <w:t xml:space="preserve">Оценить влияние изменчивости АЧХ и ФЧХ магнитных датчиков на конечный результат магнито-теллурических зондирований можно проанализировав зависимость </w:t>
      </w:r>
      <w:r w:rsidR="00051B97">
        <w:t>и</w:t>
      </w:r>
      <w:r w:rsidR="00051B97" w:rsidRPr="00F30129">
        <w:t>зменени</w:t>
      </w:r>
      <w:r w:rsidR="00051B97">
        <w:t>я</w:t>
      </w:r>
      <w:r w:rsidR="00051B97" w:rsidRPr="00F30129">
        <w:t xml:space="preserve"> модуля кажущегося сопротивления </w:t>
      </w:r>
      <m:oMath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ρ</m:t>
        </m:r>
      </m:oMath>
      <w:r w:rsidR="00051B97">
        <w:rPr>
          <w:rFonts w:eastAsiaTheme="minorEastAsia"/>
        </w:rPr>
        <w:t xml:space="preserve"> </w:t>
      </w:r>
      <w:r w:rsidR="00051B97" w:rsidRPr="00F30129">
        <w:t xml:space="preserve">и скин-глубины </w:t>
      </w:r>
      <m:oMath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</w:rPr>
          <m:t>h</m:t>
        </m:r>
      </m:oMath>
      <w:r w:rsidR="00051B97" w:rsidRPr="00F30129">
        <w:t xml:space="preserve"> от изменения значения модуля А</w:t>
      </w:r>
      <w:r w:rsidR="003E6206">
        <w:t>Ф</w:t>
      </w:r>
      <w:r w:rsidR="00051B97" w:rsidRPr="00F30129">
        <w:t xml:space="preserve">ЧХ магнитного датчика </w:t>
      </w:r>
      <w:r w:rsidR="00051B97" w:rsidRPr="00F30129">
        <w:rPr>
          <w:i/>
          <w:iCs/>
          <w:lang w:val="en-US"/>
        </w:rPr>
        <w:t>k</w:t>
      </w:r>
      <w:r w:rsidR="00051B97" w:rsidRPr="00F30129">
        <w:t xml:space="preserve"> при прочих неизменных условиях</w:t>
      </w:r>
      <w:r w:rsidR="00AE01C9">
        <w:t>, которое определяется следующими выражениями</w:t>
      </w:r>
      <w:r w:rsidR="00B924E6">
        <w:t xml:space="preserve"> (</w:t>
      </w:r>
      <w:r w:rsidR="00B924E6" w:rsidRPr="00B924E6">
        <w:rPr>
          <w:lang w:val="en-US"/>
        </w:rPr>
        <w:t>Semenov</w:t>
      </w:r>
      <w:r w:rsidR="00B924E6" w:rsidRPr="00B924E6">
        <w:t xml:space="preserve">, </w:t>
      </w:r>
      <w:r w:rsidR="00B924E6" w:rsidRPr="00B924E6">
        <w:rPr>
          <w:lang w:val="en-US"/>
        </w:rPr>
        <w:t>Petrishchev</w:t>
      </w:r>
      <w:r w:rsidR="00B924E6">
        <w:t>, 2018)</w:t>
      </w:r>
      <w:r w:rsidR="00AE01C9">
        <w:t>:</w:t>
      </w:r>
    </w:p>
    <w:p w:rsidR="009B5E11" w:rsidRDefault="009B5E11" w:rsidP="00133C66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B5E11" w:rsidRDefault="00C90451" w:rsidP="00133C66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12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66101" wp14:editId="6B64496A">
                <wp:simplePos x="0" y="0"/>
                <wp:positionH relativeFrom="margin">
                  <wp:posOffset>1912620</wp:posOffset>
                </wp:positionH>
                <wp:positionV relativeFrom="paragraph">
                  <wp:posOffset>189697</wp:posOffset>
                </wp:positionV>
                <wp:extent cx="2511585" cy="481157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7FBCF80-AC91-4419-BCA3-15FE5E7CD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585" cy="481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11C7" w:rsidRDefault="000411C7" w:rsidP="004974EE">
                            <w:pPr>
                              <w:pStyle w:val="a4"/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Δ</m:t>
                              </m:r>
                              <m: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h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≈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US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10Δ</m:t>
                                      </m:r>
                                      <m:r>
                                        <w:rPr>
                                          <w:rFonts w:ascii="Cambria Math" w:eastAsia="Cambria Math" w:hAnsi="Cambria Math"/>
                                          <w:lang w:val="en-US"/>
                                        </w:rPr>
                                        <m:t>ρ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/>
                                          <w:lang w:val="en-US"/>
                                        </w:rPr>
                                        <m:t>T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2π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>
                              <w:rPr>
                                <w:rFonts w:asciiTheme="minorHAnsi" w:hAnsi="Calibri"/>
                                <w:lang w:val="en-US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Δ</m:t>
                                  </m:r>
                                  <m:r>
                                    <w:rPr>
                                      <w:rFonts w:ascii="Cambria Math" w:eastAsia="Cambria Math" w:hAnsi="Cambria Math"/>
                                      <w:lang w:val="en-US"/>
                                    </w:rPr>
                                    <m:t>ρ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="Cambria Math" w:hAnsi="Cambria Math"/>
                                  <w:lang w:val="en-US"/>
                                </w:rPr>
                                <m:t>const</m:t>
                              </m:r>
                            </m:oMath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6101" id="TextBox 4" o:spid="_x0000_s1027" type="#_x0000_t202" style="position:absolute;left:0;text-align:left;margin-left:150.6pt;margin-top:14.95pt;width:197.75pt;height:37.9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" filled="f" stroked="f">
                <v:textbox style="mso-fit-shape-to-text:t" inset="0,0,0,0">
                  <w:txbxContent>
                    <w:p w:rsidR="000411C7" w:rsidRDefault="000411C7" w:rsidP="004974EE">
                      <w:pPr>
                        <w:pStyle w:val="a4"/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eastAsia="Cambria Math" w:hAnsi="Cambria Math"/>
                            <w:lang w:val="en-US"/>
                          </w:rPr>
                          <m:t>h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lang w:val="en-US"/>
                          </w:rPr>
                          <m:t>≈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Cs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10Δ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lang w:val="en-US"/>
                                  </w:rPr>
                                  <m:t>ρ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mbria Math" w:hAnsi="Cambria Math"/>
                                    <w:lang w:val="en-US"/>
                                  </w:rPr>
                                  <m:t>T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2π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Cs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Theme="minorHAnsi" w:hAnsi="Calibri"/>
                          <w:lang w:val="en-US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Cs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Δ</m:t>
                            </m:r>
                            <m:r>
                              <w:rPr>
                                <w:rFonts w:ascii="Cambria Math" w:eastAsia="Cambria Math" w:hAnsi="Cambria Math"/>
                                <w:lang w:val="en-US"/>
                              </w:rPr>
                              <m:t>ρ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lang w:val="en-US"/>
                          </w:rPr>
                          <m:t>∙</m:t>
                        </m:r>
                        <m:r>
                          <w:rPr>
                            <w:rFonts w:ascii="Cambria Math" w:eastAsia="Cambria Math" w:hAnsi="Cambria Math"/>
                            <w:lang w:val="en-US"/>
                          </w:rPr>
                          <m:t>const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5A20" w:rsidRDefault="00133C66" w:rsidP="00C90451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44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45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9045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9045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9045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9045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C90451" w:rsidRDefault="00C90451" w:rsidP="002E5A20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C9045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индукция магнитного поля 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Тл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90451" w:rsidRDefault="00C90451" w:rsidP="002E5A20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BA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F1789CA" wp14:editId="650DCB0B">
            <wp:simplePos x="0" y="0"/>
            <wp:positionH relativeFrom="column">
              <wp:posOffset>1496695</wp:posOffset>
            </wp:positionH>
            <wp:positionV relativeFrom="paragraph">
              <wp:posOffset>963930</wp:posOffset>
            </wp:positionV>
            <wp:extent cx="2423795" cy="245808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451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напряжённость электрического поля 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В/м</w:t>
      </w:r>
      <w:r w:rsidRPr="00C90451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90451" w:rsidRDefault="00C90451" w:rsidP="002E5A20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eastAsia="Cambria Math" w:hAnsi="Cambria Math"/>
            <w:sz w:val="28"/>
            <w:szCs w:val="28"/>
            <w:lang w:val="en-US"/>
          </w:rPr>
          <m:t>ω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круговая частота,</w:t>
      </w:r>
    </w:p>
    <w:p w:rsidR="00C90451" w:rsidRPr="00C90451" w:rsidRDefault="00C90451" w:rsidP="002E5A20">
      <w:pPr>
        <w:pStyle w:val="3f3f3f3f3f3f3f3f3f3f3f3f3f3fLTNotizen"/>
        <w:tabs>
          <w:tab w:val="left" w:pos="0"/>
        </w:tabs>
        <w:spacing w:after="160" w:line="25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μ</m:t>
        </m:r>
      </m:oMath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магнитная проницаемость.</w:t>
      </w:r>
    </w:p>
    <w:p w:rsidR="007C5B29" w:rsidRPr="001701A1" w:rsidRDefault="007C5B29" w:rsidP="007C5B29">
      <w:pPr>
        <w:ind w:firstLine="0"/>
        <w:jc w:val="center"/>
        <w:rPr>
          <w:i/>
        </w:rPr>
      </w:pPr>
      <w:r w:rsidRPr="007C5B29">
        <w:rPr>
          <w:i/>
        </w:rPr>
        <w:t xml:space="preserve">Рис.7. </w:t>
      </w:r>
      <w:r w:rsidRPr="007C5B29">
        <w:rPr>
          <w:i/>
          <w:noProof/>
          <w:lang w:eastAsia="ru-RU"/>
        </w:rPr>
        <w:t xml:space="preserve">Зависимость </w:t>
      </w:r>
      <w:r w:rsidRPr="007C5B29">
        <w:rPr>
          <w:i/>
        </w:rPr>
        <w:t xml:space="preserve">изменения модуля кажущегося сопротивления </w:t>
      </w:r>
      <m:oMath>
        <m:r>
          <w:rPr>
            <w:rFonts w:ascii="Cambria Math" w:hAnsi="Cambria Math"/>
            <w:lang w:val="en-US"/>
          </w:rPr>
          <m:t>Δρ</m:t>
        </m:r>
      </m:oMath>
      <w:r w:rsidRPr="007C5B29">
        <w:rPr>
          <w:rFonts w:eastAsiaTheme="minorEastAsia"/>
          <w:i/>
        </w:rPr>
        <w:t xml:space="preserve"> </w:t>
      </w:r>
      <w:r w:rsidRPr="007C5B29">
        <w:rPr>
          <w:i/>
        </w:rPr>
        <w:t xml:space="preserve">и скин-глубины </w:t>
      </w:r>
      <m:oMath>
        <m: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</w:rPr>
          <m:t>h</m:t>
        </m:r>
      </m:oMath>
      <w:r w:rsidRPr="007C5B29">
        <w:rPr>
          <w:i/>
        </w:rPr>
        <w:t xml:space="preserve"> от изменения значения модуля АФЧХ магнитного датчика </w:t>
      </w:r>
      <w:r w:rsidRPr="007C5B29">
        <w:rPr>
          <w:i/>
          <w:iCs/>
          <w:lang w:val="en-US"/>
        </w:rPr>
        <w:t>k</w:t>
      </w:r>
      <w:r w:rsidR="001701A1">
        <w:rPr>
          <w:i/>
          <w:iCs/>
        </w:rPr>
        <w:t>.</w:t>
      </w:r>
    </w:p>
    <w:p w:rsidR="007C5B29" w:rsidRDefault="007C5B29" w:rsidP="004974EE"/>
    <w:p w:rsidR="00F30129" w:rsidRDefault="00F30129" w:rsidP="004974EE">
      <w:r w:rsidRPr="00F30129">
        <w:t>Из анализа диаграммы</w:t>
      </w:r>
      <w:r w:rsidR="00007628">
        <w:t xml:space="preserve"> </w:t>
      </w:r>
      <m:oMath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)</m:t>
        </m:r>
      </m:oMath>
      <w:r w:rsidR="00007628">
        <w:rPr>
          <w:rFonts w:eastAsiaTheme="minorEastAsia"/>
        </w:rPr>
        <w:t xml:space="preserve"> </w:t>
      </w:r>
      <w:r w:rsidR="00007628">
        <w:t>на рисунке 7</w:t>
      </w:r>
      <w:r w:rsidR="00007628" w:rsidRPr="00F30129">
        <w:t xml:space="preserve"> </w:t>
      </w:r>
      <w:r w:rsidRPr="00F30129">
        <w:t>видно, что при использовании А</w:t>
      </w:r>
      <w:r w:rsidR="007C5B29">
        <w:t>Ч</w:t>
      </w:r>
      <w:r w:rsidRPr="00F30129">
        <w:t xml:space="preserve">Х датчика с погрешностью 10-15% величина </w:t>
      </w:r>
      <m:oMath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ρ</m:t>
        </m:r>
        <m:r>
          <m:rPr>
            <m:sty m:val="p"/>
          </m:rPr>
          <w:rPr>
            <w:rFonts w:ascii="Cambria Math" w:hAnsi="Cambria Math"/>
          </w:rPr>
          <m:t> </m:t>
        </m:r>
      </m:oMath>
      <w:r w:rsidRPr="00F30129">
        <w:t>составляет ~30 %, при этом погрешность определения скин-глубины достигает ~15%.</w:t>
      </w:r>
      <w:r>
        <w:t xml:space="preserve"> </w:t>
      </w:r>
      <w:r w:rsidRPr="00F30129">
        <w:t>При использовании А</w:t>
      </w:r>
      <w:r w:rsidR="007C5B29">
        <w:t>Ч</w:t>
      </w:r>
      <w:r w:rsidRPr="00F30129">
        <w:t xml:space="preserve">Х датчика с погрешностью 30-50% величина </w:t>
      </w:r>
      <m:oMath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ρ</m:t>
        </m:r>
        <m:r>
          <m:rPr>
            <m:sty m:val="p"/>
          </m:rPr>
          <w:rPr>
            <w:rFonts w:ascii="Cambria Math" w:hAnsi="Cambria Math"/>
          </w:rPr>
          <m:t> </m:t>
        </m:r>
      </m:oMath>
      <w:r w:rsidRPr="00F30129">
        <w:t>может достигать 300%, при этом погреш</w:t>
      </w:r>
      <w:r w:rsidR="007C5B29">
        <w:t>ность определения скин-глубины уже может составлять</w:t>
      </w:r>
      <w:r w:rsidRPr="00F30129">
        <w:t xml:space="preserve"> до 100%.</w:t>
      </w:r>
    </w:p>
    <w:p w:rsidR="001701A1" w:rsidRDefault="001701A1" w:rsidP="004974EE">
      <w:r w:rsidRPr="001701A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3FF57D3" wp14:editId="55D91A4F">
            <wp:simplePos x="0" y="0"/>
            <wp:positionH relativeFrom="column">
              <wp:posOffset>955411</wp:posOffset>
            </wp:positionH>
            <wp:positionV relativeFrom="paragraph">
              <wp:posOffset>1018540</wp:posOffset>
            </wp:positionV>
            <wp:extent cx="4175125" cy="3470275"/>
            <wp:effectExtent l="0" t="0" r="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рисунке 8 представлен результат оценки влияния изменчивости АЧХ магнитного индукционного датчика на результат зондирования на Балтийском щите, отличающимся низкой проводимостью и поэтому эффект влияния АЧХ на конечный результат здесь особенно выразителен.</w:t>
      </w:r>
    </w:p>
    <w:p w:rsidR="001701A1" w:rsidRPr="001701A1" w:rsidRDefault="001701A1" w:rsidP="001701A1">
      <w:pPr>
        <w:ind w:firstLine="0"/>
        <w:jc w:val="center"/>
        <w:rPr>
          <w:i/>
        </w:rPr>
      </w:pPr>
      <w:r w:rsidRPr="009F6750">
        <w:rPr>
          <w:i/>
          <w:highlight w:val="yellow"/>
        </w:rPr>
        <w:t>Рис.8. Кривые зондирования для одних и тех же данных для разных АЧХ.</w:t>
      </w:r>
    </w:p>
    <w:p w:rsidR="001701A1" w:rsidRDefault="001701A1" w:rsidP="004974EE"/>
    <w:p w:rsidR="009F6750" w:rsidRDefault="00007628" w:rsidP="004974EE">
      <w:r>
        <w:t>Для того, чтобы перейти к выводам и практическим решениям проблемы изменчивости АЧХ и ФЧХ индукционных магнитных датчиков приведём результаты калибровки индукционных датчиков, выполненные различными калибровочными способами. На рисунке 9</w:t>
      </w:r>
      <w:r w:rsidRPr="00B97736">
        <w:t xml:space="preserve"> </w:t>
      </w:r>
      <w:r w:rsidR="00B97736">
        <w:t>представлены АЧХ</w:t>
      </w:r>
      <w:r>
        <w:t xml:space="preserve"> и ФЧХ кан</w:t>
      </w:r>
      <w:r w:rsidR="00B97736">
        <w:t>а</w:t>
      </w:r>
      <w:r>
        <w:t xml:space="preserve">дских датчиков </w:t>
      </w:r>
      <w:r>
        <w:rPr>
          <w:lang w:val="en-US"/>
        </w:rPr>
        <w:t>MTC</w:t>
      </w:r>
      <w:r w:rsidRPr="00007628">
        <w:t>-</w:t>
      </w:r>
      <w:r w:rsidRPr="00B97736">
        <w:t>30</w:t>
      </w:r>
      <w:r w:rsidR="00B97736">
        <w:t>. Калибровки проведены с использованием внешней калибровочной установки (оранжевая кривая) и с помощью внутренней «калибровочной» обмотки. ФЧХ начинают разбегаться уже с 200 герц, а АЧХ имеют существенные различия на частотах 2 – 3 килогерца.</w:t>
      </w:r>
    </w:p>
    <w:p w:rsidR="00B97736" w:rsidRDefault="00B97736" w:rsidP="004974EE">
      <w:r>
        <w:t xml:space="preserve">Таким образом, можно сделать следующий вывод. Для того, чтобы получать корректные полевые данные необходимо проводить регулярные </w:t>
      </w:r>
      <w:r>
        <w:lastRenderedPageBreak/>
        <w:t xml:space="preserve">проверки АЧХ и ФЧХ индукционных магнитных датчиков. Причём, желательно </w:t>
      </w:r>
      <w:r w:rsidR="00C90451" w:rsidRPr="005E09B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3D949D" wp14:editId="317B0987">
            <wp:simplePos x="0" y="0"/>
            <wp:positionH relativeFrom="column">
              <wp:posOffset>64770</wp:posOffset>
            </wp:positionH>
            <wp:positionV relativeFrom="paragraph">
              <wp:posOffset>815004</wp:posOffset>
            </wp:positionV>
            <wp:extent cx="2751455" cy="2173605"/>
            <wp:effectExtent l="0" t="0" r="10795" b="17145"/>
            <wp:wrapTopAndBottom/>
            <wp:docPr id="10" name="Диаграмма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471E0D0-1FCB-493A-B0DF-9330B21FF2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это делать в полевых условиях, введя соответствующие изменения в </w:t>
      </w:r>
      <w:r w:rsidR="00C90451" w:rsidRPr="005E09B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3599F7" wp14:editId="2A6077E4">
            <wp:simplePos x="0" y="0"/>
            <wp:positionH relativeFrom="column">
              <wp:posOffset>3368040</wp:posOffset>
            </wp:positionH>
            <wp:positionV relativeFrom="paragraph">
              <wp:posOffset>788814</wp:posOffset>
            </wp:positionV>
            <wp:extent cx="2639060" cy="2199640"/>
            <wp:effectExtent l="0" t="0" r="8890" b="10160"/>
            <wp:wrapTopAndBottom/>
            <wp:docPr id="11" name="Диаграмма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5C3E055-CFBA-49E9-8EB2-EEA7B4C975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регламентные работы, выполняемые при проведении длительных полевых работ.</w:t>
      </w:r>
    </w:p>
    <w:p w:rsidR="005E09B3" w:rsidRPr="005E09B3" w:rsidRDefault="005E09B3" w:rsidP="005E09B3">
      <w:pPr>
        <w:ind w:firstLine="0"/>
        <w:jc w:val="center"/>
        <w:rPr>
          <w:i/>
        </w:rPr>
      </w:pPr>
      <w:r w:rsidRPr="00BF46E6">
        <w:rPr>
          <w:i/>
          <w:highlight w:val="yellow"/>
        </w:rPr>
        <w:t xml:space="preserve">Рис. 9. АЧХ и ФЧХ датчиков </w:t>
      </w:r>
      <w:r w:rsidRPr="00BF46E6">
        <w:rPr>
          <w:i/>
          <w:highlight w:val="yellow"/>
          <w:lang w:val="en-US"/>
        </w:rPr>
        <w:t>MTC</w:t>
      </w:r>
      <w:r w:rsidRPr="00BF46E6">
        <w:rPr>
          <w:i/>
          <w:highlight w:val="yellow"/>
        </w:rPr>
        <w:t>-30 полученные разных калибровочных установок</w:t>
      </w:r>
    </w:p>
    <w:p w:rsidR="005E09B3" w:rsidRPr="00B97736" w:rsidRDefault="005E09B3" w:rsidP="004974EE"/>
    <w:p w:rsidR="00E10F93" w:rsidRDefault="001701A1" w:rsidP="001701A1">
      <w:pPr>
        <w:pStyle w:val="2"/>
      </w:pPr>
      <w:r>
        <w:t>Мобильные калибровочные установки</w:t>
      </w:r>
    </w:p>
    <w:p w:rsidR="00675B72" w:rsidRDefault="00675B72" w:rsidP="004974EE">
      <w:r w:rsidRPr="00675B7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1ADBAE" wp14:editId="6D6A7108">
            <wp:simplePos x="0" y="0"/>
            <wp:positionH relativeFrom="column">
              <wp:posOffset>1521975</wp:posOffset>
            </wp:positionH>
            <wp:positionV relativeFrom="paragraph">
              <wp:posOffset>1843729</wp:posOffset>
            </wp:positionV>
            <wp:extent cx="3220085" cy="2414905"/>
            <wp:effectExtent l="0" t="0" r="0" b="4445"/>
            <wp:wrapTopAndBottom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6E6">
        <w:t xml:space="preserve">По-видимому, проблема, описанная в предыдущем разделе была известна разработчикам первичных магнитных преобразователей индукционного типа ещё в прошлом веке. Так в АО «Геологоразведка» были разработаны мобильные калибровочные установки, для </w:t>
      </w:r>
      <w:r w:rsidR="00D349F9">
        <w:t>контроля неизменности АЧХ и ФЧХ индукционных датчиков в процессе выполнения длительных полевых работ в удалённой от стационарных калибровочных систем местности. На рисунке 10 представлена такая установка</w:t>
      </w:r>
      <w:r>
        <w:t>.</w:t>
      </w:r>
    </w:p>
    <w:p w:rsidR="00675B72" w:rsidRPr="00675B72" w:rsidRDefault="00675B72" w:rsidP="00675B72">
      <w:pPr>
        <w:ind w:firstLine="0"/>
        <w:jc w:val="center"/>
        <w:rPr>
          <w:i/>
        </w:rPr>
      </w:pPr>
      <w:r w:rsidRPr="00675B72">
        <w:rPr>
          <w:i/>
        </w:rPr>
        <w:t>Рис.10. Мобильная калибровочная установка АО «Геологоразведка»</w:t>
      </w:r>
    </w:p>
    <w:p w:rsidR="00675B72" w:rsidRDefault="00675B72" w:rsidP="004974EE"/>
    <w:p w:rsidR="00E10F93" w:rsidRDefault="00675B72" w:rsidP="004974EE">
      <w:r>
        <w:lastRenderedPageBreak/>
        <w:t>Особенность этой конструкции состоит в том, что обмотки калибровочного соленоида выполнены особым способом так, чтобы в одну из них можно было включить компенсационный ток, учитывающий медленно меняющиеся вариации естественного магнитного поля Земли. Таким образом, в полевых условиях в отсутствии индустриальных помех можно обеспечить довольно точную калибровку высоко чувствительных магнитных индукционных датчиков.</w:t>
      </w:r>
    </w:p>
    <w:p w:rsidR="00132C37" w:rsidRDefault="00132C37" w:rsidP="004974EE">
      <w:r>
        <w:t>Используя наработки, развитые нашими предшественниками компания ВЕГА разработала компенсационную мобильную автоматизированную калибровочную установку, где источником компенсационного сигнала служит феррозондовый магнитометр и усилитель постоянного тока. Установка рассчитана на перевозку в кузове легкового автомобиля. Автоматизированный процесс калибровки занимает не более 40 минут для одного датчика. Результаты испытаний оформляются в виде протокола и сохраняются для сравнения с результатами повторных испытаний.</w:t>
      </w:r>
    </w:p>
    <w:p w:rsidR="00132C37" w:rsidRDefault="00132C37" w:rsidP="00132C37">
      <w:pPr>
        <w:pStyle w:val="2"/>
      </w:pPr>
      <w:r>
        <w:t>Заключение</w:t>
      </w:r>
    </w:p>
    <w:p w:rsidR="00F92D54" w:rsidRDefault="00F92D54" w:rsidP="00F92D54">
      <w:r>
        <w:t>В последнее время в практической области электроразведки методом МТЗ наметилась тенденция использовать упрощённые схемы калибровки, навязанные коммерческим производителем импортного электроразведочного оборудования (Ф/еникс). К сожалению, при всей простоте и удобстве такого подхода к метрологическому обеспечению измерений, в результате на выходе мы получаем не всегда достоверные данные, которые часто противоречат предыдущим измерениям, проведённым в той же точке наблюдения.</w:t>
      </w:r>
      <w:r w:rsidR="00440EAB">
        <w:tab/>
      </w:r>
    </w:p>
    <w:p w:rsidR="005E1906" w:rsidRPr="005E1906" w:rsidRDefault="00F92D54" w:rsidP="00F92D54">
      <w:pPr>
        <w:rPr>
          <w:rFonts w:eastAsia="Calibri" w:cs="Times New Roman"/>
          <w:szCs w:val="28"/>
        </w:rPr>
      </w:pPr>
      <w:r>
        <w:t>В своей работе мы хотели обратить внимание участников полевых работ использующих сложную прецизионную аппаратуры не пренебрегать правилами проведения измерений и своевременно проводить необходимые регламентные и калибровочные работы. Возможно, данная статья послужит толчком для пересмотра регламента проведения длительных полевых магнитотеллурических и аудио теллурических</w:t>
      </w:r>
      <w:r>
        <w:rPr>
          <w:rFonts w:eastAsia="Calibri" w:cs="Times New Roman"/>
          <w:szCs w:val="28"/>
        </w:rPr>
        <w:t xml:space="preserve"> зондирований.</w:t>
      </w:r>
    </w:p>
    <w:p w:rsidR="005E1906" w:rsidRPr="005E1906" w:rsidRDefault="005E1906" w:rsidP="005E1906">
      <w:pPr>
        <w:tabs>
          <w:tab w:val="clear" w:pos="709"/>
        </w:tabs>
        <w:ind w:firstLine="0"/>
        <w:jc w:val="center"/>
        <w:rPr>
          <w:rFonts w:eastAsia="Calibri" w:cs="Times New Roman"/>
          <w:b/>
          <w:bCs/>
          <w:szCs w:val="28"/>
        </w:rPr>
      </w:pPr>
      <w:r w:rsidRPr="005E1906">
        <w:rPr>
          <w:rFonts w:eastAsia="Calibri" w:cs="Times New Roman"/>
          <w:b/>
          <w:bCs/>
          <w:szCs w:val="28"/>
        </w:rPr>
        <w:t>Литература</w:t>
      </w:r>
    </w:p>
    <w:p w:rsidR="00D9734A" w:rsidRDefault="00D9734A" w:rsidP="0073087B">
      <w:pPr>
        <w:tabs>
          <w:tab w:val="clear" w:pos="709"/>
        </w:tabs>
        <w:ind w:firstLine="708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Яновский Б.М.</w:t>
      </w:r>
      <w:r w:rsidR="00B907CA">
        <w:rPr>
          <w:rFonts w:eastAsia="Calibri" w:cs="Times New Roman"/>
          <w:szCs w:val="28"/>
        </w:rPr>
        <w:t xml:space="preserve"> Земной магнетизм,</w:t>
      </w:r>
      <w:r>
        <w:rPr>
          <w:rFonts w:eastAsia="Calibri" w:cs="Times New Roman"/>
          <w:szCs w:val="28"/>
        </w:rPr>
        <w:t xml:space="preserve"> </w:t>
      </w:r>
      <w:r w:rsidR="00B907CA">
        <w:rPr>
          <w:rFonts w:eastAsia="Calibri" w:cs="Times New Roman"/>
          <w:szCs w:val="28"/>
        </w:rPr>
        <w:t xml:space="preserve">Т.2, </w:t>
      </w:r>
      <w:r>
        <w:rPr>
          <w:rFonts w:eastAsia="Calibri" w:cs="Times New Roman"/>
          <w:szCs w:val="28"/>
        </w:rPr>
        <w:t>Л: Издательство Ленинградского Университета, 1963. 463 с.</w:t>
      </w:r>
    </w:p>
    <w:p w:rsidR="0082761D" w:rsidRPr="0082761D" w:rsidRDefault="0082761D" w:rsidP="0082761D">
      <w:pPr>
        <w:ind w:firstLine="708"/>
        <w:rPr>
          <w:rFonts w:eastAsia="Calibri" w:cs="Times New Roman"/>
          <w:iCs/>
          <w:szCs w:val="28"/>
        </w:rPr>
      </w:pPr>
      <w:r w:rsidRPr="0082761D">
        <w:rPr>
          <w:rFonts w:eastAsia="Calibri" w:cs="Times New Roman"/>
          <w:szCs w:val="28"/>
        </w:rPr>
        <w:t>Копытенко Е.А., Поляков С.В., Щенников А.В., Скрябин А.С., Котиков А.Л., Самсонов М.Б.</w:t>
      </w:r>
      <w:r>
        <w:rPr>
          <w:rFonts w:eastAsia="Calibri" w:cs="Times New Roman"/>
          <w:szCs w:val="28"/>
        </w:rPr>
        <w:t xml:space="preserve"> </w:t>
      </w:r>
      <w:r w:rsidRPr="0082761D">
        <w:rPr>
          <w:rFonts w:eastAsia="Calibri" w:cs="Times New Roman"/>
          <w:szCs w:val="28"/>
        </w:rPr>
        <w:t>Калибровка индукционных датчиков в экранированных системах</w:t>
      </w:r>
      <w:r>
        <w:rPr>
          <w:rFonts w:eastAsia="Calibri" w:cs="Times New Roman"/>
          <w:szCs w:val="28"/>
        </w:rPr>
        <w:t xml:space="preserve">. </w:t>
      </w:r>
      <w:r w:rsidRPr="0082761D">
        <w:rPr>
          <w:rFonts w:eastAsia="Calibri" w:cs="Times New Roman"/>
          <w:szCs w:val="28"/>
          <w:lang w:val="en-US"/>
        </w:rPr>
        <w:t>VIII</w:t>
      </w:r>
      <w:r w:rsidRPr="0082761D">
        <w:rPr>
          <w:rFonts w:eastAsia="Calibri" w:cs="Times New Roman"/>
          <w:szCs w:val="28"/>
        </w:rPr>
        <w:t xml:space="preserve"> Всероссийская школа-семинар ЭМЗ-2021, Москва, 4-9 октября</w:t>
      </w:r>
      <w:r>
        <w:rPr>
          <w:rFonts w:eastAsia="Calibri" w:cs="Times New Roman"/>
          <w:szCs w:val="28"/>
        </w:rPr>
        <w:t xml:space="preserve"> 2021. Тезисы доклада.</w:t>
      </w:r>
    </w:p>
    <w:p w:rsidR="0082761D" w:rsidRDefault="0082761D" w:rsidP="0082761D">
      <w:pPr>
        <w:tabs>
          <w:tab w:val="clear" w:pos="709"/>
        </w:tabs>
        <w:ind w:firstLine="708"/>
        <w:rPr>
          <w:rFonts w:eastAsia="Calibri" w:cs="Times New Roman"/>
          <w:szCs w:val="28"/>
          <w:lang w:val="en-US"/>
        </w:rPr>
      </w:pPr>
      <w:r w:rsidRPr="00D9734A">
        <w:rPr>
          <w:rFonts w:eastAsia="Calibri" w:cs="Times New Roman"/>
          <w:szCs w:val="28"/>
          <w:lang w:val="en-US"/>
        </w:rPr>
        <w:lastRenderedPageBreak/>
        <w:t>E</w:t>
      </w:r>
      <w:r w:rsidRPr="003D2FD4">
        <w:rPr>
          <w:rFonts w:eastAsia="Calibri" w:cs="Times New Roman"/>
          <w:szCs w:val="28"/>
          <w:lang w:val="en-US"/>
        </w:rPr>
        <w:t xml:space="preserve">. </w:t>
      </w:r>
      <w:r w:rsidRPr="00D9734A">
        <w:rPr>
          <w:rFonts w:eastAsia="Calibri" w:cs="Times New Roman"/>
          <w:szCs w:val="28"/>
          <w:lang w:val="en-US"/>
        </w:rPr>
        <w:t>Pulz</w:t>
      </w:r>
      <w:r w:rsidRPr="003D2FD4">
        <w:rPr>
          <w:rFonts w:eastAsia="Calibri" w:cs="Times New Roman"/>
          <w:szCs w:val="28"/>
          <w:lang w:val="en-US"/>
        </w:rPr>
        <w:t xml:space="preserve">.  </w:t>
      </w:r>
      <w:r w:rsidRPr="00D9734A">
        <w:rPr>
          <w:rFonts w:eastAsia="Calibri" w:cs="Times New Roman"/>
          <w:szCs w:val="28"/>
          <w:lang w:val="en-US"/>
        </w:rPr>
        <w:t>A Calibration Facility for Search Coil Magnetometers</w:t>
      </w:r>
      <w:r>
        <w:rPr>
          <w:rFonts w:eastAsia="Calibri" w:cs="Times New Roman"/>
          <w:szCs w:val="28"/>
          <w:lang w:val="en-US"/>
        </w:rPr>
        <w:t xml:space="preserve">. </w:t>
      </w:r>
      <w:r w:rsidRPr="00D9734A">
        <w:rPr>
          <w:rFonts w:eastAsia="Calibri" w:cs="Times New Roman"/>
          <w:szCs w:val="28"/>
          <w:lang w:val="en-US"/>
        </w:rPr>
        <w:t>19. Kolloquium Elektromagnetische Tiefenforschung, Burg Ludwigstein, 1.10.-5.10.2001, Hrsg.: A. Hördt und J. B. Stoll</w:t>
      </w:r>
    </w:p>
    <w:p w:rsidR="00B808F3" w:rsidRDefault="0082761D" w:rsidP="005E1906">
      <w:pPr>
        <w:rPr>
          <w:lang w:val="en-US"/>
        </w:rPr>
      </w:pPr>
      <w:hyperlink r:id="rId17" w:history="1">
        <w:r w:rsidRPr="0077621A">
          <w:rPr>
            <w:rStyle w:val="a5"/>
            <w:lang w:val="en-US"/>
          </w:rPr>
          <w:t>http</w:t>
        </w:r>
        <w:r w:rsidRPr="00B924E6">
          <w:rPr>
            <w:rStyle w:val="a5"/>
            <w:lang w:val="en-US"/>
          </w:rPr>
          <w:t>://</w:t>
        </w:r>
        <w:r w:rsidRPr="0077621A">
          <w:rPr>
            <w:rStyle w:val="a5"/>
            <w:lang w:val="en-US"/>
          </w:rPr>
          <w:t>www</w:t>
        </w:r>
        <w:r w:rsidRPr="00B924E6">
          <w:rPr>
            <w:rStyle w:val="a5"/>
            <w:lang w:val="en-US"/>
          </w:rPr>
          <w:t>.</w:t>
        </w:r>
        <w:r w:rsidRPr="0077621A">
          <w:rPr>
            <w:rStyle w:val="a5"/>
            <w:lang w:val="en-US"/>
          </w:rPr>
          <w:t>meda</w:t>
        </w:r>
        <w:r w:rsidRPr="00B924E6">
          <w:rPr>
            <w:rStyle w:val="a5"/>
            <w:lang w:val="en-US"/>
          </w:rPr>
          <w:t>.</w:t>
        </w:r>
        <w:r w:rsidRPr="0077621A">
          <w:rPr>
            <w:rStyle w:val="a5"/>
            <w:lang w:val="en-US"/>
          </w:rPr>
          <w:t>com</w:t>
        </w:r>
        <w:r w:rsidRPr="00B924E6">
          <w:rPr>
            <w:rStyle w:val="a5"/>
            <w:lang w:val="en-US"/>
          </w:rPr>
          <w:t>/</w:t>
        </w:r>
        <w:r w:rsidRPr="0077621A">
          <w:rPr>
            <w:rStyle w:val="a5"/>
            <w:lang w:val="en-US"/>
          </w:rPr>
          <w:t>index</w:t>
        </w:r>
        <w:r w:rsidRPr="00B924E6">
          <w:rPr>
            <w:rStyle w:val="a5"/>
            <w:lang w:val="en-US"/>
          </w:rPr>
          <w:t>.</w:t>
        </w:r>
        <w:r w:rsidRPr="0077621A">
          <w:rPr>
            <w:rStyle w:val="a5"/>
            <w:lang w:val="en-US"/>
          </w:rPr>
          <w:t>php</w:t>
        </w:r>
        <w:r w:rsidRPr="00B924E6">
          <w:rPr>
            <w:rStyle w:val="a5"/>
            <w:lang w:val="en-US"/>
          </w:rPr>
          <w:t>/</w:t>
        </w:r>
        <w:r w:rsidRPr="0077621A">
          <w:rPr>
            <w:rStyle w:val="a5"/>
            <w:lang w:val="en-US"/>
          </w:rPr>
          <w:t>products</w:t>
        </w:r>
        <w:r w:rsidRPr="00B924E6">
          <w:rPr>
            <w:rStyle w:val="a5"/>
            <w:lang w:val="en-US"/>
          </w:rPr>
          <w:t>?</w:t>
        </w:r>
        <w:r w:rsidRPr="0077621A">
          <w:rPr>
            <w:rStyle w:val="a5"/>
            <w:lang w:val="en-US"/>
          </w:rPr>
          <w:t>name</w:t>
        </w:r>
        <w:r w:rsidRPr="00B924E6">
          <w:rPr>
            <w:rStyle w:val="a5"/>
            <w:lang w:val="en-US"/>
          </w:rPr>
          <w:t>=</w:t>
        </w:r>
        <w:r w:rsidRPr="0077621A">
          <w:rPr>
            <w:rStyle w:val="a5"/>
            <w:lang w:val="en-US"/>
          </w:rPr>
          <w:t>Three</w:t>
        </w:r>
        <w:r w:rsidRPr="00B924E6">
          <w:rPr>
            <w:rStyle w:val="a5"/>
            <w:lang w:val="en-US"/>
          </w:rPr>
          <w:t>-</w:t>
        </w:r>
        <w:r w:rsidRPr="0077621A">
          <w:rPr>
            <w:rStyle w:val="a5"/>
            <w:lang w:val="en-US"/>
          </w:rPr>
          <w:t>Axis</w:t>
        </w:r>
        <w:r w:rsidRPr="00B924E6">
          <w:rPr>
            <w:rStyle w:val="a5"/>
            <w:lang w:val="en-US"/>
          </w:rPr>
          <w:t>-</w:t>
        </w:r>
        <w:r w:rsidRPr="0077621A">
          <w:rPr>
            <w:rStyle w:val="a5"/>
            <w:lang w:val="en-US"/>
          </w:rPr>
          <w:t>Helmholtz</w:t>
        </w:r>
      </w:hyperlink>
    </w:p>
    <w:p w:rsidR="00B924E6" w:rsidRPr="00B924E6" w:rsidRDefault="00B924E6" w:rsidP="00B924E6">
      <w:pPr>
        <w:rPr>
          <w:lang w:val="en-US"/>
        </w:rPr>
      </w:pPr>
      <w:r w:rsidRPr="00B924E6">
        <w:rPr>
          <w:lang w:val="en-US"/>
        </w:rPr>
        <w:t>Semenov V.Yu., Petrishchev M.S. Induction soundings of the Earth's mantle. Springer International Publishing AG, 2018. 100p. DOI</w:t>
      </w:r>
      <w:r>
        <w:t xml:space="preserve"> </w:t>
      </w:r>
      <w:r w:rsidRPr="00B924E6">
        <w:rPr>
          <w:lang w:val="en-US"/>
        </w:rPr>
        <w:t>https://doi.org/10.1007/978-3-319-53795-5]:</w:t>
      </w:r>
    </w:p>
    <w:p w:rsidR="0082761D" w:rsidRPr="00B924E6" w:rsidRDefault="0082761D" w:rsidP="005E1906">
      <w:pPr>
        <w:rPr>
          <w:lang w:val="en-US"/>
        </w:rPr>
      </w:pPr>
    </w:p>
    <w:sectPr w:rsidR="0082761D" w:rsidRPr="00B924E6" w:rsidSect="0046188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88723F"/>
    <w:multiLevelType w:val="multilevel"/>
    <w:tmpl w:val="3EF82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F0"/>
    <w:rsid w:val="00007628"/>
    <w:rsid w:val="000411C7"/>
    <w:rsid w:val="00051B97"/>
    <w:rsid w:val="000A0299"/>
    <w:rsid w:val="000C0DED"/>
    <w:rsid w:val="000E59FB"/>
    <w:rsid w:val="001037A4"/>
    <w:rsid w:val="001201F8"/>
    <w:rsid w:val="00132C37"/>
    <w:rsid w:val="00133C66"/>
    <w:rsid w:val="0016092D"/>
    <w:rsid w:val="001701A1"/>
    <w:rsid w:val="001B46DF"/>
    <w:rsid w:val="00250179"/>
    <w:rsid w:val="00267E18"/>
    <w:rsid w:val="002E5A20"/>
    <w:rsid w:val="002F16DA"/>
    <w:rsid w:val="003D2FD4"/>
    <w:rsid w:val="003E6206"/>
    <w:rsid w:val="003F5BA4"/>
    <w:rsid w:val="00440EAB"/>
    <w:rsid w:val="00461883"/>
    <w:rsid w:val="00467EAE"/>
    <w:rsid w:val="00473D41"/>
    <w:rsid w:val="004974EE"/>
    <w:rsid w:val="005445D5"/>
    <w:rsid w:val="005B67AA"/>
    <w:rsid w:val="005B7D75"/>
    <w:rsid w:val="005C4DDD"/>
    <w:rsid w:val="005D7005"/>
    <w:rsid w:val="005E09B3"/>
    <w:rsid w:val="005E1906"/>
    <w:rsid w:val="00653B82"/>
    <w:rsid w:val="00675B72"/>
    <w:rsid w:val="006E6664"/>
    <w:rsid w:val="0073087B"/>
    <w:rsid w:val="00752F5F"/>
    <w:rsid w:val="00765290"/>
    <w:rsid w:val="0078009A"/>
    <w:rsid w:val="007A4AD9"/>
    <w:rsid w:val="007C5B29"/>
    <w:rsid w:val="007D4A7A"/>
    <w:rsid w:val="0082761D"/>
    <w:rsid w:val="0086483A"/>
    <w:rsid w:val="008654BA"/>
    <w:rsid w:val="008E7E2D"/>
    <w:rsid w:val="008F1185"/>
    <w:rsid w:val="00904340"/>
    <w:rsid w:val="00940054"/>
    <w:rsid w:val="009451F0"/>
    <w:rsid w:val="00950CA4"/>
    <w:rsid w:val="009B5E11"/>
    <w:rsid w:val="009F6750"/>
    <w:rsid w:val="00A036B2"/>
    <w:rsid w:val="00A13CDA"/>
    <w:rsid w:val="00A532DF"/>
    <w:rsid w:val="00A715E0"/>
    <w:rsid w:val="00AE01C9"/>
    <w:rsid w:val="00AE67FC"/>
    <w:rsid w:val="00B808F3"/>
    <w:rsid w:val="00B907CA"/>
    <w:rsid w:val="00B924E6"/>
    <w:rsid w:val="00B97736"/>
    <w:rsid w:val="00B97C3B"/>
    <w:rsid w:val="00BD4D9C"/>
    <w:rsid w:val="00BD5E07"/>
    <w:rsid w:val="00BF46E6"/>
    <w:rsid w:val="00BF6A2E"/>
    <w:rsid w:val="00C0179C"/>
    <w:rsid w:val="00C0741E"/>
    <w:rsid w:val="00C461FC"/>
    <w:rsid w:val="00C53818"/>
    <w:rsid w:val="00C570FF"/>
    <w:rsid w:val="00C90451"/>
    <w:rsid w:val="00CA5166"/>
    <w:rsid w:val="00D349F9"/>
    <w:rsid w:val="00D41987"/>
    <w:rsid w:val="00D9734A"/>
    <w:rsid w:val="00E10F93"/>
    <w:rsid w:val="00E14B61"/>
    <w:rsid w:val="00EA554D"/>
    <w:rsid w:val="00EB5B09"/>
    <w:rsid w:val="00F112A0"/>
    <w:rsid w:val="00F30129"/>
    <w:rsid w:val="00F43182"/>
    <w:rsid w:val="00F66BEA"/>
    <w:rsid w:val="00F71A66"/>
    <w:rsid w:val="00F9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0DB85A-217D-4CD8-B407-A349B1F1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B82"/>
    <w:pPr>
      <w:tabs>
        <w:tab w:val="left" w:pos="709"/>
      </w:tabs>
      <w:spacing w:after="0" w:line="30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2F5F"/>
    <w:pPr>
      <w:keepNext/>
      <w:keepLines/>
      <w:spacing w:before="120"/>
      <w:ind w:firstLine="0"/>
      <w:jc w:val="center"/>
      <w:outlineLvl w:val="1"/>
    </w:pPr>
    <w:rPr>
      <w:rFonts w:eastAsiaTheme="majorEastAsia" w:cs="Times New Roman"/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3f3f3f3f3f3f">
    <w:name w:val="Б3fа3fз3fо3fв3fы3fй3f"/>
    <w:rsid w:val="00F43182"/>
    <w:pPr>
      <w:autoSpaceDE w:val="0"/>
      <w:autoSpaceDN w:val="0"/>
      <w:adjustRightInd w:val="0"/>
      <w:spacing w:after="0" w:line="200" w:lineRule="atLeast"/>
    </w:pPr>
    <w:rPr>
      <w:rFonts w:ascii="Arial" w:eastAsia="Microsoft YaHei" w:hAnsi="Arial" w:cs="Arial"/>
      <w:kern w:val="1"/>
      <w:sz w:val="36"/>
      <w:szCs w:val="36"/>
    </w:rPr>
  </w:style>
  <w:style w:type="paragraph" w:customStyle="1" w:styleId="3f3f3f3f3f3f3f3f3f3f3f3f3f3fLTNotizen">
    <w:name w:val="Т3fи3fт3fу3fл3fь3fн3fы3fй3f с3fл3fа3fй3fд3f~LT~Notizen"/>
    <w:uiPriority w:val="99"/>
    <w:rsid w:val="002E5A20"/>
    <w:pPr>
      <w:autoSpaceDE w:val="0"/>
      <w:autoSpaceDN w:val="0"/>
      <w:adjustRightInd w:val="0"/>
      <w:spacing w:after="0" w:line="240" w:lineRule="auto"/>
      <w:ind w:left="340" w:hanging="340"/>
    </w:pPr>
    <w:rPr>
      <w:rFonts w:ascii="Arial" w:eastAsia="Microsoft YaHei" w:hAnsi="Arial" w:cs="Arial"/>
      <w:kern w:val="1"/>
      <w:sz w:val="40"/>
      <w:szCs w:val="40"/>
    </w:rPr>
  </w:style>
  <w:style w:type="paragraph" w:customStyle="1" w:styleId="3f3f3f3f3f3f3f3f3f3f3f3f3f3f3f3fLTNotizen">
    <w:name w:val="З3fа3fг3fо3fл3fо3fв3fо3fк3f и3f о3fб3fъ3fе3fк3fт3f~LT~Notizen"/>
    <w:uiPriority w:val="99"/>
    <w:rsid w:val="002E5A20"/>
    <w:pPr>
      <w:autoSpaceDE w:val="0"/>
      <w:autoSpaceDN w:val="0"/>
      <w:adjustRightInd w:val="0"/>
      <w:spacing w:after="0" w:line="240" w:lineRule="auto"/>
      <w:ind w:left="340" w:hanging="340"/>
    </w:pPr>
    <w:rPr>
      <w:rFonts w:ascii="Arial" w:eastAsia="Microsoft YaHei" w:hAnsi="Arial" w:cs="Arial"/>
      <w:kern w:val="1"/>
      <w:sz w:val="40"/>
      <w:szCs w:val="40"/>
    </w:rPr>
  </w:style>
  <w:style w:type="paragraph" w:styleId="a3">
    <w:name w:val="caption"/>
    <w:basedOn w:val="a"/>
    <w:next w:val="a"/>
    <w:uiPriority w:val="35"/>
    <w:unhideWhenUsed/>
    <w:qFormat/>
    <w:rsid w:val="006E66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F30129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2F5F"/>
    <w:rPr>
      <w:rFonts w:ascii="Times New Roman" w:eastAsiaTheme="majorEastAsia" w:hAnsi="Times New Roman" w:cs="Times New Roman"/>
      <w:b/>
      <w:sz w:val="28"/>
      <w:szCs w:val="28"/>
    </w:rPr>
  </w:style>
  <w:style w:type="character" w:styleId="a5">
    <w:name w:val="Hyperlink"/>
    <w:basedOn w:val="a0"/>
    <w:uiPriority w:val="99"/>
    <w:unhideWhenUsed/>
    <w:rsid w:val="00C074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13CD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2761D"/>
    <w:pPr>
      <w:tabs>
        <w:tab w:val="clear" w:pos="709"/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761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meda.com/index.php/products?name=Three-Axis-Helmholtz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eugene@vega-geo.net" TargetMode="External"/><Relationship Id="rId15" Type="http://schemas.openxmlformats.org/officeDocument/2006/relationships/chart" Target="charts/chart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ckolas\Desktop\&#1056;&#1040;&#1041;&#1086;&#1090;&#1072;\SCADA\&#1040;&#1060;&#1063;&#1061;\180423%20&#1060;&#1077;&#1085;&#1080;&#1082;&#1089;&#1099;\1804\&#1072;&#1092;&#1095;&#1093;%20180423%20&#1092;&#1077;&#1085;&#1080;&#1082;&#1089;%20mtc-30%20&#8470;1633%20&#1074;&#1085;&#1091;&#1090;&#1088;&#1077;&#1085;&#1085;&#1103;&#1103;%20&#1086;&#1073;&#1084;&#1086;&#1090;&#1082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ckolas\Desktop\&#1056;&#1040;&#1041;&#1086;&#1090;&#1072;\SCADA\&#1040;&#1060;&#1063;&#1061;\180423%20&#1060;&#1077;&#1085;&#1080;&#1082;&#1089;&#1099;\1804\&#1072;&#1092;&#1095;&#1093;%20180423%20&#1092;&#1077;&#1085;&#1080;&#1082;&#1089;%20mtc-30%20&#8470;1633%20&#1074;&#1085;&#1091;&#1090;&#1088;&#1077;&#1085;&#1085;&#1103;&#1103;%20&#1086;&#1073;&#1084;&#1086;&#1090;&#1082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 dirty="0">
                <a:effectLst/>
              </a:rPr>
              <a:t>AFC MTC-30 №1263</a:t>
            </a:r>
            <a:endParaRPr lang="ru-RU" dirty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794209226443357"/>
          <c:y val="8.4384513051607185E-2"/>
          <c:w val="0.83722666792943767"/>
          <c:h val="0.8366612784342865"/>
        </c:manualLayout>
      </c:layout>
      <c:scatterChart>
        <c:scatterStyle val="smoothMarker"/>
        <c:varyColors val="0"/>
        <c:ser>
          <c:idx val="0"/>
          <c:order val="0"/>
          <c:tx>
            <c:v>In-coil solenoid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Лист1!$A$1:$A$60</c:f>
              <c:numCache>
                <c:formatCode>General</c:formatCode>
                <c:ptCount val="60"/>
                <c:pt idx="0">
                  <c:v>1</c:v>
                </c:pt>
                <c:pt idx="1">
                  <c:v>1.25</c:v>
                </c:pt>
                <c:pt idx="2">
                  <c:v>1.6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3.2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10</c:v>
                </c:pt>
                <c:pt idx="12">
                  <c:v>12</c:v>
                </c:pt>
                <c:pt idx="13">
                  <c:v>16</c:v>
                </c:pt>
                <c:pt idx="14">
                  <c:v>18</c:v>
                </c:pt>
                <c:pt idx="15">
                  <c:v>20</c:v>
                </c:pt>
                <c:pt idx="16">
                  <c:v>24</c:v>
                </c:pt>
                <c:pt idx="17">
                  <c:v>25</c:v>
                </c:pt>
                <c:pt idx="18">
                  <c:v>32</c:v>
                </c:pt>
                <c:pt idx="19">
                  <c:v>40</c:v>
                </c:pt>
                <c:pt idx="20">
                  <c:v>63</c:v>
                </c:pt>
                <c:pt idx="21">
                  <c:v>68</c:v>
                </c:pt>
                <c:pt idx="22">
                  <c:v>80</c:v>
                </c:pt>
                <c:pt idx="23">
                  <c:v>100</c:v>
                </c:pt>
                <c:pt idx="24">
                  <c:v>125</c:v>
                </c:pt>
                <c:pt idx="25">
                  <c:v>135</c:v>
                </c:pt>
                <c:pt idx="26">
                  <c:v>160</c:v>
                </c:pt>
                <c:pt idx="27">
                  <c:v>200</c:v>
                </c:pt>
                <c:pt idx="28">
                  <c:v>250</c:v>
                </c:pt>
                <c:pt idx="29">
                  <c:v>320</c:v>
                </c:pt>
                <c:pt idx="30">
                  <c:v>400</c:v>
                </c:pt>
                <c:pt idx="31">
                  <c:v>500</c:v>
                </c:pt>
                <c:pt idx="32">
                  <c:v>630</c:v>
                </c:pt>
                <c:pt idx="33">
                  <c:v>800</c:v>
                </c:pt>
                <c:pt idx="34">
                  <c:v>1000</c:v>
                </c:pt>
                <c:pt idx="35">
                  <c:v>1250</c:v>
                </c:pt>
                <c:pt idx="36">
                  <c:v>1600</c:v>
                </c:pt>
                <c:pt idx="37">
                  <c:v>2000</c:v>
                </c:pt>
                <c:pt idx="38">
                  <c:v>2500</c:v>
                </c:pt>
                <c:pt idx="39">
                  <c:v>3200</c:v>
                </c:pt>
                <c:pt idx="40">
                  <c:v>4000</c:v>
                </c:pt>
                <c:pt idx="41">
                  <c:v>4500</c:v>
                </c:pt>
                <c:pt idx="42">
                  <c:v>5000</c:v>
                </c:pt>
                <c:pt idx="43">
                  <c:v>5600</c:v>
                </c:pt>
                <c:pt idx="44">
                  <c:v>6300</c:v>
                </c:pt>
                <c:pt idx="45">
                  <c:v>7100</c:v>
                </c:pt>
                <c:pt idx="46">
                  <c:v>8000</c:v>
                </c:pt>
                <c:pt idx="47">
                  <c:v>9000</c:v>
                </c:pt>
                <c:pt idx="48">
                  <c:v>10000</c:v>
                </c:pt>
                <c:pt idx="49">
                  <c:v>11000</c:v>
                </c:pt>
                <c:pt idx="50">
                  <c:v>12000</c:v>
                </c:pt>
                <c:pt idx="51">
                  <c:v>13000</c:v>
                </c:pt>
                <c:pt idx="52">
                  <c:v>14000</c:v>
                </c:pt>
                <c:pt idx="53">
                  <c:v>15000</c:v>
                </c:pt>
                <c:pt idx="54">
                  <c:v>16000</c:v>
                </c:pt>
                <c:pt idx="55">
                  <c:v>17000</c:v>
                </c:pt>
                <c:pt idx="56">
                  <c:v>18000</c:v>
                </c:pt>
                <c:pt idx="57">
                  <c:v>19000</c:v>
                </c:pt>
                <c:pt idx="58">
                  <c:v>20000</c:v>
                </c:pt>
                <c:pt idx="59">
                  <c:v>21000</c:v>
                </c:pt>
              </c:numCache>
            </c:numRef>
          </c:xVal>
          <c:yVal>
            <c:numRef>
              <c:f>Лист1!$F$1:$F$60</c:f>
              <c:numCache>
                <c:formatCode>General</c:formatCode>
                <c:ptCount val="60"/>
                <c:pt idx="0">
                  <c:v>0.10170731707317072</c:v>
                </c:pt>
                <c:pt idx="1">
                  <c:v>0.13953658536585364</c:v>
                </c:pt>
                <c:pt idx="2">
                  <c:v>0.13481707317073169</c:v>
                </c:pt>
                <c:pt idx="3">
                  <c:v>0.11926829268292682</c:v>
                </c:pt>
                <c:pt idx="4">
                  <c:v>0.10893292682926828</c:v>
                </c:pt>
                <c:pt idx="5">
                  <c:v>0.10322560975609756</c:v>
                </c:pt>
                <c:pt idx="6">
                  <c:v>0.10174390243902438</c:v>
                </c:pt>
                <c:pt idx="7">
                  <c:v>9.7829268292682917E-2</c:v>
                </c:pt>
                <c:pt idx="8">
                  <c:v>9.5487804878048768E-2</c:v>
                </c:pt>
                <c:pt idx="9">
                  <c:v>9.4134146341463401E-2</c:v>
                </c:pt>
                <c:pt idx="10">
                  <c:v>9.2963414634146327E-2</c:v>
                </c:pt>
                <c:pt idx="11">
                  <c:v>9.237804878048779E-2</c:v>
                </c:pt>
                <c:pt idx="12">
                  <c:v>9.2085365853658535E-2</c:v>
                </c:pt>
                <c:pt idx="13">
                  <c:v>9.1829268292682925E-2</c:v>
                </c:pt>
                <c:pt idx="14">
                  <c:v>9.1682926829268291E-2</c:v>
                </c:pt>
                <c:pt idx="15">
                  <c:v>9.1664634146341462E-2</c:v>
                </c:pt>
                <c:pt idx="16">
                  <c:v>9.1573170731707315E-2</c:v>
                </c:pt>
                <c:pt idx="17">
                  <c:v>9.1554878048780486E-2</c:v>
                </c:pt>
                <c:pt idx="18">
                  <c:v>9.1499999999999998E-2</c:v>
                </c:pt>
                <c:pt idx="19">
                  <c:v>9.1496516819608992E-2</c:v>
                </c:pt>
                <c:pt idx="20">
                  <c:v>9.1426909732664055E-2</c:v>
                </c:pt>
                <c:pt idx="21">
                  <c:v>9.1430250822310544E-2</c:v>
                </c:pt>
                <c:pt idx="22">
                  <c:v>9.1416438037704009E-2</c:v>
                </c:pt>
                <c:pt idx="23">
                  <c:v>9.1399953644552182E-2</c:v>
                </c:pt>
                <c:pt idx="24">
                  <c:v>9.1376433383978453E-2</c:v>
                </c:pt>
                <c:pt idx="25">
                  <c:v>9.1360479523020025E-2</c:v>
                </c:pt>
                <c:pt idx="26">
                  <c:v>9.1327851793126413E-2</c:v>
                </c:pt>
                <c:pt idx="27">
                  <c:v>9.129661986817017E-2</c:v>
                </c:pt>
                <c:pt idx="28">
                  <c:v>9.1263891084525428E-2</c:v>
                </c:pt>
                <c:pt idx="29">
                  <c:v>9.1217583203073618E-2</c:v>
                </c:pt>
                <c:pt idx="30">
                  <c:v>9.1180925954854011E-2</c:v>
                </c:pt>
                <c:pt idx="31">
                  <c:v>9.1123369527730397E-2</c:v>
                </c:pt>
                <c:pt idx="32">
                  <c:v>9.1075217415320625E-2</c:v>
                </c:pt>
                <c:pt idx="33">
                  <c:v>9.1018854685632145E-2</c:v>
                </c:pt>
                <c:pt idx="34">
                  <c:v>9.0788262657289912E-2</c:v>
                </c:pt>
                <c:pt idx="35">
                  <c:v>9.0764136074209467E-2</c:v>
                </c:pt>
                <c:pt idx="36">
                  <c:v>9.0644134744751706E-2</c:v>
                </c:pt>
                <c:pt idx="37">
                  <c:v>9.0403967873490643E-2</c:v>
                </c:pt>
                <c:pt idx="38">
                  <c:v>9.0196586628609313E-2</c:v>
                </c:pt>
                <c:pt idx="39">
                  <c:v>8.9592942046280155E-2</c:v>
                </c:pt>
                <c:pt idx="40">
                  <c:v>8.8298411915106081E-2</c:v>
                </c:pt>
                <c:pt idx="41">
                  <c:v>8.72801627395004E-2</c:v>
                </c:pt>
                <c:pt idx="42">
                  <c:v>8.5827470856100999E-2</c:v>
                </c:pt>
                <c:pt idx="43">
                  <c:v>8.3772138612024233E-2</c:v>
                </c:pt>
                <c:pt idx="44">
                  <c:v>8.0702283549414416E-2</c:v>
                </c:pt>
                <c:pt idx="45">
                  <c:v>7.6515601376979117E-2</c:v>
                </c:pt>
                <c:pt idx="46">
                  <c:v>7.1051302944963826E-2</c:v>
                </c:pt>
                <c:pt idx="47">
                  <c:v>6.46489667522962E-2</c:v>
                </c:pt>
                <c:pt idx="48">
                  <c:v>5.7928393349766065E-2</c:v>
                </c:pt>
                <c:pt idx="49">
                  <c:v>5.163692575379851E-2</c:v>
                </c:pt>
                <c:pt idx="50">
                  <c:v>4.6034155261378142E-2</c:v>
                </c:pt>
                <c:pt idx="51">
                  <c:v>4.16849849729976E-2</c:v>
                </c:pt>
                <c:pt idx="52">
                  <c:v>3.704094615470159E-2</c:v>
                </c:pt>
                <c:pt idx="53">
                  <c:v>3.2825321556358908E-2</c:v>
                </c:pt>
                <c:pt idx="54">
                  <c:v>2.9076208442142672E-2</c:v>
                </c:pt>
                <c:pt idx="55">
                  <c:v>2.5792411535652891E-2</c:v>
                </c:pt>
                <c:pt idx="56">
                  <c:v>2.2857996920914489E-2</c:v>
                </c:pt>
                <c:pt idx="57">
                  <c:v>2.0289460043833318E-2</c:v>
                </c:pt>
                <c:pt idx="58">
                  <c:v>1.7940459283135653E-2</c:v>
                </c:pt>
                <c:pt idx="59">
                  <c:v>1.5926715394540297E-2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E02-4F78-A027-6CF286590795}"/>
            </c:ext>
          </c:extLst>
        </c:ser>
        <c:ser>
          <c:idx val="1"/>
          <c:order val="1"/>
          <c:tx>
            <c:v>Outside solenoid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Лист1!$U$1:$U$60</c:f>
              <c:numCache>
                <c:formatCode>General</c:formatCode>
                <c:ptCount val="60"/>
                <c:pt idx="0">
                  <c:v>1</c:v>
                </c:pt>
                <c:pt idx="1">
                  <c:v>1.25</c:v>
                </c:pt>
                <c:pt idx="2">
                  <c:v>1.6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3.2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10</c:v>
                </c:pt>
                <c:pt idx="12">
                  <c:v>12</c:v>
                </c:pt>
                <c:pt idx="13">
                  <c:v>16</c:v>
                </c:pt>
                <c:pt idx="14">
                  <c:v>18</c:v>
                </c:pt>
                <c:pt idx="15">
                  <c:v>20</c:v>
                </c:pt>
                <c:pt idx="16">
                  <c:v>24</c:v>
                </c:pt>
                <c:pt idx="17">
                  <c:v>25</c:v>
                </c:pt>
                <c:pt idx="18">
                  <c:v>32</c:v>
                </c:pt>
                <c:pt idx="19">
                  <c:v>40</c:v>
                </c:pt>
                <c:pt idx="20">
                  <c:v>63</c:v>
                </c:pt>
                <c:pt idx="21">
                  <c:v>68</c:v>
                </c:pt>
                <c:pt idx="22">
                  <c:v>80</c:v>
                </c:pt>
                <c:pt idx="23">
                  <c:v>100</c:v>
                </c:pt>
                <c:pt idx="24">
                  <c:v>125</c:v>
                </c:pt>
                <c:pt idx="25">
                  <c:v>135</c:v>
                </c:pt>
                <c:pt idx="26">
                  <c:v>160</c:v>
                </c:pt>
                <c:pt idx="27">
                  <c:v>200</c:v>
                </c:pt>
                <c:pt idx="28">
                  <c:v>250</c:v>
                </c:pt>
                <c:pt idx="29">
                  <c:v>320</c:v>
                </c:pt>
                <c:pt idx="30">
                  <c:v>400</c:v>
                </c:pt>
                <c:pt idx="31">
                  <c:v>500</c:v>
                </c:pt>
                <c:pt idx="32">
                  <c:v>630</c:v>
                </c:pt>
                <c:pt idx="33">
                  <c:v>800</c:v>
                </c:pt>
                <c:pt idx="34">
                  <c:v>1000</c:v>
                </c:pt>
                <c:pt idx="35">
                  <c:v>1250</c:v>
                </c:pt>
                <c:pt idx="36">
                  <c:v>1600</c:v>
                </c:pt>
                <c:pt idx="37">
                  <c:v>2000</c:v>
                </c:pt>
                <c:pt idx="38">
                  <c:v>2500</c:v>
                </c:pt>
                <c:pt idx="39">
                  <c:v>3200</c:v>
                </c:pt>
                <c:pt idx="40">
                  <c:v>4000</c:v>
                </c:pt>
                <c:pt idx="41">
                  <c:v>4500</c:v>
                </c:pt>
                <c:pt idx="42">
                  <c:v>5000</c:v>
                </c:pt>
                <c:pt idx="43">
                  <c:v>5600</c:v>
                </c:pt>
                <c:pt idx="44">
                  <c:v>6300</c:v>
                </c:pt>
                <c:pt idx="45">
                  <c:v>7100</c:v>
                </c:pt>
                <c:pt idx="46">
                  <c:v>8000</c:v>
                </c:pt>
                <c:pt idx="47">
                  <c:v>9000</c:v>
                </c:pt>
                <c:pt idx="48">
                  <c:v>10000</c:v>
                </c:pt>
                <c:pt idx="49">
                  <c:v>11000</c:v>
                </c:pt>
                <c:pt idx="50">
                  <c:v>12000</c:v>
                </c:pt>
                <c:pt idx="51">
                  <c:v>13000</c:v>
                </c:pt>
                <c:pt idx="52">
                  <c:v>14000</c:v>
                </c:pt>
                <c:pt idx="53">
                  <c:v>15000</c:v>
                </c:pt>
                <c:pt idx="54">
                  <c:v>16000</c:v>
                </c:pt>
                <c:pt idx="55">
                  <c:v>17000</c:v>
                </c:pt>
                <c:pt idx="56">
                  <c:v>18000</c:v>
                </c:pt>
                <c:pt idx="57">
                  <c:v>19000</c:v>
                </c:pt>
                <c:pt idx="58">
                  <c:v>20000</c:v>
                </c:pt>
                <c:pt idx="59">
                  <c:v>21000</c:v>
                </c:pt>
              </c:numCache>
            </c:numRef>
          </c:xVal>
          <c:yVal>
            <c:numRef>
              <c:f>Лист1!$W$1:$W$60</c:f>
              <c:numCache>
                <c:formatCode>General</c:formatCode>
                <c:ptCount val="60"/>
                <c:pt idx="0">
                  <c:v>0.10265560082084045</c:v>
                </c:pt>
                <c:pt idx="1">
                  <c:v>0.14194435457780655</c:v>
                </c:pt>
                <c:pt idx="2">
                  <c:v>0.13572670656745389</c:v>
                </c:pt>
                <c:pt idx="3">
                  <c:v>0.12019595352928687</c:v>
                </c:pt>
                <c:pt idx="4">
                  <c:v>0.10916368488082964</c:v>
                </c:pt>
                <c:pt idx="5">
                  <c:v>0.10378130875128873</c:v>
                </c:pt>
                <c:pt idx="6">
                  <c:v>0.10234095457577778</c:v>
                </c:pt>
                <c:pt idx="7">
                  <c:v>9.8095700163745525E-2</c:v>
                </c:pt>
                <c:pt idx="8">
                  <c:v>9.6135378021289283E-2</c:v>
                </c:pt>
                <c:pt idx="9">
                  <c:v>9.4619047137672732E-2</c:v>
                </c:pt>
                <c:pt idx="10">
                  <c:v>9.3366093366093361E-2</c:v>
                </c:pt>
                <c:pt idx="11">
                  <c:v>9.2820092820092806E-2</c:v>
                </c:pt>
                <c:pt idx="12">
                  <c:v>9.2547092547092535E-2</c:v>
                </c:pt>
                <c:pt idx="13">
                  <c:v>9.2137592137592123E-2</c:v>
                </c:pt>
                <c:pt idx="14">
                  <c:v>9.2019514326282442E-2</c:v>
                </c:pt>
                <c:pt idx="15">
                  <c:v>9.2019514326282442E-2</c:v>
                </c:pt>
                <c:pt idx="16">
                  <c:v>9.1901389217631954E-2</c:v>
                </c:pt>
                <c:pt idx="17">
                  <c:v>9.1901389217631954E-2</c:v>
                </c:pt>
                <c:pt idx="18">
                  <c:v>9.1846204236116169E-2</c:v>
                </c:pt>
                <c:pt idx="19">
                  <c:v>9.1718768373398499E-2</c:v>
                </c:pt>
                <c:pt idx="20">
                  <c:v>9.1607481671714605E-2</c:v>
                </c:pt>
                <c:pt idx="21">
                  <c:v>9.1587756261168815E-2</c:v>
                </c:pt>
                <c:pt idx="22">
                  <c:v>9.1544967432277732E-2</c:v>
                </c:pt>
                <c:pt idx="23">
                  <c:v>9.1475137447212168E-2</c:v>
                </c:pt>
                <c:pt idx="24">
                  <c:v>9.1406155138091208E-2</c:v>
                </c:pt>
                <c:pt idx="25">
                  <c:v>9.137655868772307E-2</c:v>
                </c:pt>
                <c:pt idx="26">
                  <c:v>9.1311611721388727E-2</c:v>
                </c:pt>
                <c:pt idx="27">
                  <c:v>9.121195042185927E-2</c:v>
                </c:pt>
                <c:pt idx="28">
                  <c:v>9.1101645230806966E-2</c:v>
                </c:pt>
                <c:pt idx="29">
                  <c:v>9.0956349377435228E-2</c:v>
                </c:pt>
                <c:pt idx="30">
                  <c:v>9.0810110547125192E-2</c:v>
                </c:pt>
                <c:pt idx="31">
                  <c:v>9.0654552954512746E-2</c:v>
                </c:pt>
                <c:pt idx="32">
                  <c:v>9.0485305971975349E-2</c:v>
                </c:pt>
                <c:pt idx="33">
                  <c:v>9.0311732415765095E-2</c:v>
                </c:pt>
                <c:pt idx="34">
                  <c:v>9.0168330013164238E-2</c:v>
                </c:pt>
                <c:pt idx="35">
                  <c:v>9.0059624106967023E-2</c:v>
                </c:pt>
                <c:pt idx="36">
                  <c:v>9.0014136533172459E-2</c:v>
                </c:pt>
                <c:pt idx="37">
                  <c:v>9.008155668763454E-2</c:v>
                </c:pt>
                <c:pt idx="38">
                  <c:v>9.0283657723167501E-2</c:v>
                </c:pt>
                <c:pt idx="39">
                  <c:v>9.0656892567905711E-2</c:v>
                </c:pt>
                <c:pt idx="40">
                  <c:v>9.0986912334255862E-2</c:v>
                </c:pt>
                <c:pt idx="41">
                  <c:v>9.1016431467462661E-2</c:v>
                </c:pt>
                <c:pt idx="42">
                  <c:v>9.0843585317264469E-2</c:v>
                </c:pt>
                <c:pt idx="43">
                  <c:v>9.0303249660130022E-2</c:v>
                </c:pt>
                <c:pt idx="44">
                  <c:v>8.9155605581656375E-2</c:v>
                </c:pt>
                <c:pt idx="45">
                  <c:v>8.714274969065075E-2</c:v>
                </c:pt>
                <c:pt idx="46">
                  <c:v>8.4079058835780707E-2</c:v>
                </c:pt>
                <c:pt idx="47">
                  <c:v>7.991445826679465E-2</c:v>
                </c:pt>
                <c:pt idx="48">
                  <c:v>7.525824459768872E-2</c:v>
                </c:pt>
                <c:pt idx="49">
                  <c:v>7.040947600007956E-2</c:v>
                </c:pt>
                <c:pt idx="50">
                  <c:v>6.5943961002012344E-2</c:v>
                </c:pt>
                <c:pt idx="51">
                  <c:v>6.1876821116038094E-2</c:v>
                </c:pt>
                <c:pt idx="52">
                  <c:v>5.7576747357678919E-2</c:v>
                </c:pt>
                <c:pt idx="53">
                  <c:v>5.353093040987647E-2</c:v>
                </c:pt>
                <c:pt idx="54">
                  <c:v>4.9784364935096172E-2</c:v>
                </c:pt>
                <c:pt idx="55">
                  <c:v>4.6309729750622877E-2</c:v>
                </c:pt>
                <c:pt idx="56">
                  <c:v>4.3081378622681424E-2</c:v>
                </c:pt>
                <c:pt idx="57">
                  <c:v>4.0064013258701785E-2</c:v>
                </c:pt>
                <c:pt idx="58">
                  <c:v>3.722102215108028E-2</c:v>
                </c:pt>
                <c:pt idx="59">
                  <c:v>3.4529199431234822E-2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E02-4F78-A027-6CF286590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190704"/>
        <c:axId val="440191096"/>
      </c:scatterChart>
      <c:valAx>
        <c:axId val="440190704"/>
        <c:scaling>
          <c:logBase val="10"/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dirty="0" smtClean="0"/>
                  <a:t>Frequency</a:t>
                </a:r>
                <a:r>
                  <a:rPr lang="en-US" dirty="0"/>
                  <a:t>, 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191096"/>
        <c:crosses val="autoZero"/>
        <c:crossBetween val="midCat"/>
      </c:valAx>
      <c:valAx>
        <c:axId val="440191096"/>
        <c:scaling>
          <c:orientation val="minMax"/>
          <c:max val="0.2"/>
          <c:min val="1.0000000000000002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 dirty="0">
                    <a:effectLst/>
                  </a:rPr>
                  <a:t>AFC, V/</a:t>
                </a:r>
                <a:r>
                  <a:rPr lang="en-US" sz="1800" b="0" i="0" baseline="0" dirty="0" err="1">
                    <a:effectLst/>
                  </a:rPr>
                  <a:t>nT</a:t>
                </a:r>
                <a:endParaRPr lang="ru-RU" dirty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1907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4526641149366"/>
          <c:y val="0.21155823436302607"/>
          <c:w val="0.30792652466591719"/>
          <c:h val="0.10451356454046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 dirty="0">
                <a:effectLst/>
              </a:rPr>
              <a:t>PFC MTC-30 №1263</a:t>
            </a:r>
            <a:endParaRPr lang="ru-RU" dirty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707873259835503"/>
          <c:y val="8.9312760672595234E-2"/>
          <c:w val="0.85337276115937177"/>
          <c:h val="0.8778512937750188"/>
        </c:manualLayout>
      </c:layout>
      <c:scatterChart>
        <c:scatterStyle val="lineMarker"/>
        <c:varyColors val="0"/>
        <c:ser>
          <c:idx val="0"/>
          <c:order val="0"/>
          <c:tx>
            <c:v>In-coil solenoid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Лист1!$A$1:$A$60</c:f>
              <c:numCache>
                <c:formatCode>General</c:formatCode>
                <c:ptCount val="60"/>
                <c:pt idx="0">
                  <c:v>1</c:v>
                </c:pt>
                <c:pt idx="1">
                  <c:v>1.25</c:v>
                </c:pt>
                <c:pt idx="2">
                  <c:v>1.6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3.2</c:v>
                </c:pt>
                <c:pt idx="7">
                  <c:v>4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10</c:v>
                </c:pt>
                <c:pt idx="12">
                  <c:v>12</c:v>
                </c:pt>
                <c:pt idx="13">
                  <c:v>16</c:v>
                </c:pt>
                <c:pt idx="14">
                  <c:v>18</c:v>
                </c:pt>
                <c:pt idx="15">
                  <c:v>20</c:v>
                </c:pt>
                <c:pt idx="16">
                  <c:v>24</c:v>
                </c:pt>
                <c:pt idx="17">
                  <c:v>25</c:v>
                </c:pt>
                <c:pt idx="18">
                  <c:v>32</c:v>
                </c:pt>
                <c:pt idx="19">
                  <c:v>40</c:v>
                </c:pt>
                <c:pt idx="20">
                  <c:v>63</c:v>
                </c:pt>
                <c:pt idx="21">
                  <c:v>68</c:v>
                </c:pt>
                <c:pt idx="22">
                  <c:v>80</c:v>
                </c:pt>
                <c:pt idx="23">
                  <c:v>100</c:v>
                </c:pt>
                <c:pt idx="24">
                  <c:v>125</c:v>
                </c:pt>
                <c:pt idx="25">
                  <c:v>135</c:v>
                </c:pt>
                <c:pt idx="26">
                  <c:v>160</c:v>
                </c:pt>
                <c:pt idx="27">
                  <c:v>200</c:v>
                </c:pt>
                <c:pt idx="28">
                  <c:v>250</c:v>
                </c:pt>
                <c:pt idx="29">
                  <c:v>320</c:v>
                </c:pt>
                <c:pt idx="30">
                  <c:v>400</c:v>
                </c:pt>
                <c:pt idx="31">
                  <c:v>500</c:v>
                </c:pt>
                <c:pt idx="32">
                  <c:v>630</c:v>
                </c:pt>
                <c:pt idx="33">
                  <c:v>800</c:v>
                </c:pt>
                <c:pt idx="34">
                  <c:v>1000</c:v>
                </c:pt>
                <c:pt idx="35">
                  <c:v>1250</c:v>
                </c:pt>
                <c:pt idx="36">
                  <c:v>1600</c:v>
                </c:pt>
                <c:pt idx="37">
                  <c:v>2000</c:v>
                </c:pt>
                <c:pt idx="38">
                  <c:v>2500</c:v>
                </c:pt>
                <c:pt idx="39">
                  <c:v>3200</c:v>
                </c:pt>
                <c:pt idx="40">
                  <c:v>4000</c:v>
                </c:pt>
                <c:pt idx="41">
                  <c:v>4500</c:v>
                </c:pt>
                <c:pt idx="42">
                  <c:v>5000</c:v>
                </c:pt>
                <c:pt idx="43">
                  <c:v>5600</c:v>
                </c:pt>
                <c:pt idx="44">
                  <c:v>6300</c:v>
                </c:pt>
                <c:pt idx="45">
                  <c:v>7100</c:v>
                </c:pt>
                <c:pt idx="46">
                  <c:v>8000</c:v>
                </c:pt>
                <c:pt idx="47">
                  <c:v>9000</c:v>
                </c:pt>
                <c:pt idx="48">
                  <c:v>10000</c:v>
                </c:pt>
                <c:pt idx="49">
                  <c:v>11000</c:v>
                </c:pt>
                <c:pt idx="50">
                  <c:v>12000</c:v>
                </c:pt>
                <c:pt idx="51">
                  <c:v>13000</c:v>
                </c:pt>
                <c:pt idx="52">
                  <c:v>14000</c:v>
                </c:pt>
                <c:pt idx="53">
                  <c:v>15000</c:v>
                </c:pt>
                <c:pt idx="54">
                  <c:v>16000</c:v>
                </c:pt>
                <c:pt idx="55">
                  <c:v>17000</c:v>
                </c:pt>
                <c:pt idx="56">
                  <c:v>18000</c:v>
                </c:pt>
                <c:pt idx="57">
                  <c:v>19000</c:v>
                </c:pt>
                <c:pt idx="58">
                  <c:v>20000</c:v>
                </c:pt>
                <c:pt idx="59">
                  <c:v>21000</c:v>
                </c:pt>
              </c:numCache>
            </c:numRef>
          </c:xVal>
          <c:yVal>
            <c:numRef>
              <c:f>Лист1!$B$1:$B$60</c:f>
              <c:numCache>
                <c:formatCode>General</c:formatCode>
                <c:ptCount val="60"/>
                <c:pt idx="0">
                  <c:v>116.30000000000001</c:v>
                </c:pt>
                <c:pt idx="1">
                  <c:v>80.45</c:v>
                </c:pt>
                <c:pt idx="2">
                  <c:v>47.75</c:v>
                </c:pt>
                <c:pt idx="3">
                  <c:v>31.659999999999997</c:v>
                </c:pt>
                <c:pt idx="4">
                  <c:v>22.490000000000009</c:v>
                </c:pt>
                <c:pt idx="5">
                  <c:v>17.580000000000013</c:v>
                </c:pt>
                <c:pt idx="6">
                  <c:v>16.199999999999989</c:v>
                </c:pt>
                <c:pt idx="7">
                  <c:v>12.389999999999986</c:v>
                </c:pt>
                <c:pt idx="8">
                  <c:v>9.6500000000000057</c:v>
                </c:pt>
                <c:pt idx="9">
                  <c:v>7.8700000000000045</c:v>
                </c:pt>
                <c:pt idx="10">
                  <c:v>5.7400000000000091</c:v>
                </c:pt>
                <c:pt idx="11">
                  <c:v>4.5600000000000023</c:v>
                </c:pt>
                <c:pt idx="12">
                  <c:v>3.7400000000000091</c:v>
                </c:pt>
                <c:pt idx="13">
                  <c:v>2.6899999999999977</c:v>
                </c:pt>
                <c:pt idx="14">
                  <c:v>2.3600000000000136</c:v>
                </c:pt>
                <c:pt idx="15">
                  <c:v>2.0500000000000114</c:v>
                </c:pt>
                <c:pt idx="16">
                  <c:v>1.5999999999999943</c:v>
                </c:pt>
                <c:pt idx="17">
                  <c:v>1.5099999999999909</c:v>
                </c:pt>
                <c:pt idx="18">
                  <c:v>1.0099999999999909</c:v>
                </c:pt>
                <c:pt idx="19">
                  <c:v>0.6252288818359375</c:v>
                </c:pt>
                <c:pt idx="20">
                  <c:v>-0.1018218994140625</c:v>
                </c:pt>
                <c:pt idx="21">
                  <c:v>-0.2242431640625</c:v>
                </c:pt>
                <c:pt idx="22">
                  <c:v>-0.4862213134765625</c:v>
                </c:pt>
                <c:pt idx="23">
                  <c:v>-0.8638763427734375</c:v>
                </c:pt>
                <c:pt idx="24">
                  <c:v>-1.2833251953125</c:v>
                </c:pt>
                <c:pt idx="25">
                  <c:v>-1.4432525634765625</c:v>
                </c:pt>
                <c:pt idx="26">
                  <c:v>-1.8264617919921875</c:v>
                </c:pt>
                <c:pt idx="27">
                  <c:v>-2.4012451171875</c:v>
                </c:pt>
                <c:pt idx="28">
                  <c:v>-3.09130859375</c:v>
                </c:pt>
                <c:pt idx="29">
                  <c:v>-4.030609130859375</c:v>
                </c:pt>
                <c:pt idx="30">
                  <c:v>-5.0811309814453125</c:v>
                </c:pt>
                <c:pt idx="31">
                  <c:v>-6.372344970703125</c:v>
                </c:pt>
                <c:pt idx="32">
                  <c:v>-8.0406036376953125</c:v>
                </c:pt>
                <c:pt idx="33">
                  <c:v>-10.211181640625</c:v>
                </c:pt>
                <c:pt idx="34">
                  <c:v>-12.755142211914063</c:v>
                </c:pt>
                <c:pt idx="35">
                  <c:v>-15.946533203125</c:v>
                </c:pt>
                <c:pt idx="36">
                  <c:v>-20.429733276367188</c:v>
                </c:pt>
                <c:pt idx="37">
                  <c:v>-25.586074829101563</c:v>
                </c:pt>
                <c:pt idx="38" formatCode="0.00">
                  <c:v>-32.12701416015625</c:v>
                </c:pt>
                <c:pt idx="39" formatCode="0.00">
                  <c:v>-41.448440551757813</c:v>
                </c:pt>
                <c:pt idx="40" formatCode="0.00">
                  <c:v>-52.350570678710938</c:v>
                </c:pt>
                <c:pt idx="41" formatCode="0.00">
                  <c:v>-59.300338745117187</c:v>
                </c:pt>
                <c:pt idx="42" formatCode="0.00">
                  <c:v>-66.310287475585938</c:v>
                </c:pt>
                <c:pt idx="43" formatCode="0.00">
                  <c:v>-74.778671264648437</c:v>
                </c:pt>
                <c:pt idx="44" formatCode="0.00">
                  <c:v>-84.636589050292969</c:v>
                </c:pt>
                <c:pt idx="45" formatCode="0.00">
                  <c:v>-95.774337768554688</c:v>
                </c:pt>
                <c:pt idx="46">
                  <c:v>-107.96107482910156</c:v>
                </c:pt>
                <c:pt idx="47">
                  <c:v>-120.90966415405273</c:v>
                </c:pt>
                <c:pt idx="48">
                  <c:v>-133.08524703979492</c:v>
                </c:pt>
                <c:pt idx="49">
                  <c:v>-144.28355026245117</c:v>
                </c:pt>
                <c:pt idx="50">
                  <c:v>-154.01713371276855</c:v>
                </c:pt>
                <c:pt idx="51">
                  <c:v>-164.19875144958496</c:v>
                </c:pt>
                <c:pt idx="52">
                  <c:v>-174.11608076095581</c:v>
                </c:pt>
                <c:pt idx="53">
                  <c:v>-183.22780561447144</c:v>
                </c:pt>
                <c:pt idx="54">
                  <c:v>-191.7727108001709</c:v>
                </c:pt>
                <c:pt idx="55">
                  <c:v>-199.87306022644043</c:v>
                </c:pt>
                <c:pt idx="56">
                  <c:v>-207.59128952026367</c:v>
                </c:pt>
                <c:pt idx="57">
                  <c:v>-214.98601913452148</c:v>
                </c:pt>
                <c:pt idx="58">
                  <c:v>-222.04328918457031</c:v>
                </c:pt>
                <c:pt idx="59">
                  <c:v>-228.94192504882812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A9-45D9-B50B-78EF915A6449}"/>
            </c:ext>
          </c:extLst>
        </c:ser>
        <c:ser>
          <c:idx val="1"/>
          <c:order val="1"/>
          <c:tx>
            <c:v>Outside solenoid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Лист1!$U$2:$U$61</c:f>
              <c:numCache>
                <c:formatCode>General</c:formatCode>
                <c:ptCount val="60"/>
                <c:pt idx="0">
                  <c:v>1.25</c:v>
                </c:pt>
                <c:pt idx="1">
                  <c:v>1.6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3.2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8</c:v>
                </c:pt>
                <c:pt idx="10">
                  <c:v>10</c:v>
                </c:pt>
                <c:pt idx="11">
                  <c:v>12</c:v>
                </c:pt>
                <c:pt idx="12">
                  <c:v>16</c:v>
                </c:pt>
                <c:pt idx="13">
                  <c:v>18</c:v>
                </c:pt>
                <c:pt idx="14">
                  <c:v>20</c:v>
                </c:pt>
                <c:pt idx="15">
                  <c:v>24</c:v>
                </c:pt>
                <c:pt idx="16">
                  <c:v>25</c:v>
                </c:pt>
                <c:pt idx="17">
                  <c:v>32</c:v>
                </c:pt>
                <c:pt idx="18">
                  <c:v>40</c:v>
                </c:pt>
                <c:pt idx="19">
                  <c:v>63</c:v>
                </c:pt>
                <c:pt idx="20">
                  <c:v>68</c:v>
                </c:pt>
                <c:pt idx="21">
                  <c:v>80</c:v>
                </c:pt>
                <c:pt idx="22">
                  <c:v>100</c:v>
                </c:pt>
                <c:pt idx="23">
                  <c:v>125</c:v>
                </c:pt>
                <c:pt idx="24">
                  <c:v>135</c:v>
                </c:pt>
                <c:pt idx="25">
                  <c:v>160</c:v>
                </c:pt>
                <c:pt idx="26">
                  <c:v>200</c:v>
                </c:pt>
                <c:pt idx="27">
                  <c:v>250</c:v>
                </c:pt>
                <c:pt idx="28">
                  <c:v>320</c:v>
                </c:pt>
                <c:pt idx="29">
                  <c:v>400</c:v>
                </c:pt>
                <c:pt idx="30">
                  <c:v>500</c:v>
                </c:pt>
                <c:pt idx="31">
                  <c:v>630</c:v>
                </c:pt>
                <c:pt idx="32">
                  <c:v>800</c:v>
                </c:pt>
                <c:pt idx="33">
                  <c:v>1000</c:v>
                </c:pt>
                <c:pt idx="34">
                  <c:v>1250</c:v>
                </c:pt>
                <c:pt idx="35">
                  <c:v>1600</c:v>
                </c:pt>
                <c:pt idx="36">
                  <c:v>2000</c:v>
                </c:pt>
                <c:pt idx="37">
                  <c:v>2500</c:v>
                </c:pt>
                <c:pt idx="38">
                  <c:v>3200</c:v>
                </c:pt>
                <c:pt idx="39">
                  <c:v>4000</c:v>
                </c:pt>
                <c:pt idx="40">
                  <c:v>4500</c:v>
                </c:pt>
                <c:pt idx="41">
                  <c:v>5000</c:v>
                </c:pt>
                <c:pt idx="42">
                  <c:v>5600</c:v>
                </c:pt>
                <c:pt idx="43">
                  <c:v>6300</c:v>
                </c:pt>
                <c:pt idx="44">
                  <c:v>7100</c:v>
                </c:pt>
                <c:pt idx="45">
                  <c:v>8000</c:v>
                </c:pt>
                <c:pt idx="46">
                  <c:v>9000</c:v>
                </c:pt>
                <c:pt idx="47">
                  <c:v>10000</c:v>
                </c:pt>
                <c:pt idx="48">
                  <c:v>11000</c:v>
                </c:pt>
                <c:pt idx="49">
                  <c:v>12000</c:v>
                </c:pt>
                <c:pt idx="50">
                  <c:v>13000</c:v>
                </c:pt>
                <c:pt idx="51">
                  <c:v>14000</c:v>
                </c:pt>
                <c:pt idx="52">
                  <c:v>15000</c:v>
                </c:pt>
                <c:pt idx="53">
                  <c:v>16000</c:v>
                </c:pt>
                <c:pt idx="54">
                  <c:v>17000</c:v>
                </c:pt>
                <c:pt idx="55">
                  <c:v>18000</c:v>
                </c:pt>
                <c:pt idx="56">
                  <c:v>19000</c:v>
                </c:pt>
                <c:pt idx="57">
                  <c:v>20000</c:v>
                </c:pt>
                <c:pt idx="58">
                  <c:v>21000</c:v>
                </c:pt>
              </c:numCache>
            </c:numRef>
          </c:xVal>
          <c:yVal>
            <c:numRef>
              <c:f>Лист1!$V$2:$V$61</c:f>
              <c:numCache>
                <c:formatCode>General</c:formatCode>
                <c:ptCount val="60"/>
                <c:pt idx="0">
                  <c:v>79.900000000000006</c:v>
                </c:pt>
                <c:pt idx="1">
                  <c:v>47.7</c:v>
                </c:pt>
                <c:pt idx="2">
                  <c:v>31.3</c:v>
                </c:pt>
                <c:pt idx="3">
                  <c:v>22.5</c:v>
                </c:pt>
                <c:pt idx="4">
                  <c:v>17.399999999999999</c:v>
                </c:pt>
                <c:pt idx="5">
                  <c:v>16.2</c:v>
                </c:pt>
                <c:pt idx="6">
                  <c:v>12.3</c:v>
                </c:pt>
                <c:pt idx="7">
                  <c:v>9.57</c:v>
                </c:pt>
                <c:pt idx="8">
                  <c:v>7.74</c:v>
                </c:pt>
                <c:pt idx="9">
                  <c:v>5.57</c:v>
                </c:pt>
                <c:pt idx="10">
                  <c:v>4.54</c:v>
                </c:pt>
                <c:pt idx="11">
                  <c:v>3.6</c:v>
                </c:pt>
                <c:pt idx="12">
                  <c:v>2.62</c:v>
                </c:pt>
                <c:pt idx="13">
                  <c:v>2.2799999999999998</c:v>
                </c:pt>
                <c:pt idx="14">
                  <c:v>2.1</c:v>
                </c:pt>
                <c:pt idx="15">
                  <c:v>1.62</c:v>
                </c:pt>
                <c:pt idx="16">
                  <c:v>1.51</c:v>
                </c:pt>
                <c:pt idx="17">
                  <c:v>1.06</c:v>
                </c:pt>
                <c:pt idx="18">
                  <c:v>0.68054014444351196</c:v>
                </c:pt>
                <c:pt idx="19">
                  <c:v>0.10493464022874832</c:v>
                </c:pt>
                <c:pt idx="20">
                  <c:v>5.3219817578792572E-2</c:v>
                </c:pt>
                <c:pt idx="21">
                  <c:v>-0.14191916584968567</c:v>
                </c:pt>
                <c:pt idx="22">
                  <c:v>-0.402382493019104</c:v>
                </c:pt>
                <c:pt idx="23">
                  <c:v>-0.66848790645599365</c:v>
                </c:pt>
                <c:pt idx="24">
                  <c:v>-0.76462429761886597</c:v>
                </c:pt>
                <c:pt idx="25">
                  <c:v>-0.9903111457824707</c:v>
                </c:pt>
                <c:pt idx="26">
                  <c:v>-1.3040237426757812</c:v>
                </c:pt>
                <c:pt idx="27">
                  <c:v>-1.661344051361084</c:v>
                </c:pt>
                <c:pt idx="28">
                  <c:v>-2.1230511665344238</c:v>
                </c:pt>
                <c:pt idx="29">
                  <c:v>-2.6148252487182617</c:v>
                </c:pt>
                <c:pt idx="30">
                  <c:v>-3.2026412487030029</c:v>
                </c:pt>
                <c:pt idx="31">
                  <c:v>-3.9371018409729004</c:v>
                </c:pt>
                <c:pt idx="32">
                  <c:v>-4.8689751625061035</c:v>
                </c:pt>
                <c:pt idx="33">
                  <c:v>-5.9432539939880371</c:v>
                </c:pt>
                <c:pt idx="34">
                  <c:v>-7.2697634696960449</c:v>
                </c:pt>
                <c:pt idx="35">
                  <c:v>-9.138214111328125</c:v>
                </c:pt>
                <c:pt idx="36">
                  <c:v>-11.30709171295166</c:v>
                </c:pt>
                <c:pt idx="37" formatCode="0.00">
                  <c:v>-14.104978561401367</c:v>
                </c:pt>
                <c:pt idx="38" formatCode="0.00">
                  <c:v>-18.237815856933594</c:v>
                </c:pt>
                <c:pt idx="39" formatCode="0.00">
                  <c:v>-23.305173873901367</c:v>
                </c:pt>
                <c:pt idx="40" formatCode="0.00">
                  <c:v>-26.660438537597656</c:v>
                </c:pt>
                <c:pt idx="41" formatCode="0.00">
                  <c:v>-30.136054992675781</c:v>
                </c:pt>
                <c:pt idx="42" formatCode="0.00">
                  <c:v>-34.430984497070312</c:v>
                </c:pt>
                <c:pt idx="43" formatCode="0.00">
                  <c:v>-39.546634674072266</c:v>
                </c:pt>
                <c:pt idx="44" formatCode="0.00">
                  <c:v>-45.417339324951172</c:v>
                </c:pt>
                <c:pt idx="45">
                  <c:v>-51.894729614257813</c:v>
                </c:pt>
                <c:pt idx="46">
                  <c:v>-58.761188507080078</c:v>
                </c:pt>
                <c:pt idx="47">
                  <c:v>-65.150306701660156</c:v>
                </c:pt>
                <c:pt idx="48">
                  <c:v>-70.933280944824219</c:v>
                </c:pt>
                <c:pt idx="49">
                  <c:v>-75.998664855957031</c:v>
                </c:pt>
                <c:pt idx="50">
                  <c:v>-81.217926025390625</c:v>
                </c:pt>
                <c:pt idx="51">
                  <c:v>-86.031379699707031</c:v>
                </c:pt>
                <c:pt idx="52">
                  <c:v>-90.379386901855469</c:v>
                </c:pt>
                <c:pt idx="53">
                  <c:v>-94.399566650390625</c:v>
                </c:pt>
                <c:pt idx="54">
                  <c:v>-98.164695739746094</c:v>
                </c:pt>
                <c:pt idx="55">
                  <c:v>-101.71891784667969</c:v>
                </c:pt>
                <c:pt idx="56">
                  <c:v>-105.09661865234375</c:v>
                </c:pt>
                <c:pt idx="57">
                  <c:v>-108.32305908203125</c:v>
                </c:pt>
                <c:pt idx="58">
                  <c:v>-111.41237640380859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A9-45D9-B50B-78EF915A64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6926344"/>
        <c:axId val="440122328"/>
      </c:scatterChart>
      <c:valAx>
        <c:axId val="436926344"/>
        <c:scaling>
          <c:logBase val="10"/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dirty="0" smtClean="0"/>
                  <a:t>Frequency</a:t>
                </a:r>
                <a:r>
                  <a:rPr lang="en-US" dirty="0"/>
                  <a:t>, Hz</a:t>
                </a:r>
              </a:p>
            </c:rich>
          </c:tx>
          <c:layout>
            <c:manualLayout>
              <c:xMode val="edge"/>
              <c:yMode val="edge"/>
              <c:x val="0.47016195146218986"/>
              <c:y val="0.956955864095279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122328"/>
        <c:crosses val="autoZero"/>
        <c:crossBetween val="midCat"/>
      </c:valAx>
      <c:valAx>
        <c:axId val="440122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0" i="0" baseline="0" dirty="0">
                    <a:effectLst/>
                  </a:rPr>
                  <a:t>PFC,  ̊̊</a:t>
                </a:r>
                <a:endParaRPr lang="ru-RU" dirty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9263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608299116434187"/>
          <c:y val="0.18969985141904847"/>
          <c:w val="0.28559133748213728"/>
          <c:h val="0.10074754211799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2007</TotalTime>
  <Pages>10</Pages>
  <Words>1575</Words>
  <Characters>11578</Characters>
  <Application>Microsoft Office Word</Application>
  <DocSecurity>0</DocSecurity>
  <Lines>257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Eugene Kopytenko</cp:lastModifiedBy>
  <cp:revision>43</cp:revision>
  <dcterms:created xsi:type="dcterms:W3CDTF">2023-08-04T09:08:00Z</dcterms:created>
  <dcterms:modified xsi:type="dcterms:W3CDTF">2023-10-18T14:35:00Z</dcterms:modified>
</cp:coreProperties>
</file>